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7D258" w14:textId="5FFD2B10" w:rsidR="007D232C" w:rsidRDefault="002252C1" w:rsidP="002252C1">
      <w:pPr>
        <w:spacing w:line="360" w:lineRule="auto"/>
        <w:jc w:val="center"/>
        <w:rPr>
          <w:rFonts w:ascii="Times New Roman" w:hAnsi="Times New Roman" w:cs="Times New Roman"/>
          <w:b/>
          <w:sz w:val="28"/>
        </w:rPr>
      </w:pPr>
      <w:r>
        <w:rPr>
          <w:rFonts w:ascii="Times New Roman" w:hAnsi="Times New Roman" w:cs="Times New Roman"/>
          <w:b/>
          <w:sz w:val="28"/>
        </w:rPr>
        <w:t xml:space="preserve">The Weight of Empowerment: </w:t>
      </w:r>
      <w:r w:rsidR="009C3558">
        <w:rPr>
          <w:rFonts w:ascii="Times New Roman" w:hAnsi="Times New Roman" w:cs="Times New Roman"/>
          <w:b/>
          <w:sz w:val="28"/>
        </w:rPr>
        <w:t xml:space="preserve">Intrahousehold </w:t>
      </w:r>
      <w:r>
        <w:rPr>
          <w:rFonts w:ascii="Times New Roman" w:hAnsi="Times New Roman" w:cs="Times New Roman"/>
          <w:b/>
          <w:sz w:val="28"/>
        </w:rPr>
        <w:t>S</w:t>
      </w:r>
      <w:r w:rsidR="009C3558">
        <w:rPr>
          <w:rFonts w:ascii="Times New Roman" w:hAnsi="Times New Roman" w:cs="Times New Roman"/>
          <w:b/>
          <w:sz w:val="28"/>
        </w:rPr>
        <w:t xml:space="preserve">tatus and </w:t>
      </w:r>
      <w:r>
        <w:rPr>
          <w:rFonts w:ascii="Times New Roman" w:hAnsi="Times New Roman" w:cs="Times New Roman"/>
          <w:b/>
          <w:sz w:val="28"/>
        </w:rPr>
        <w:t>W</w:t>
      </w:r>
      <w:r w:rsidR="009C3558">
        <w:rPr>
          <w:rFonts w:ascii="Times New Roman" w:hAnsi="Times New Roman" w:cs="Times New Roman"/>
          <w:b/>
          <w:sz w:val="28"/>
        </w:rPr>
        <w:t xml:space="preserve">omen’s </w:t>
      </w:r>
      <w:r>
        <w:rPr>
          <w:rFonts w:ascii="Times New Roman" w:hAnsi="Times New Roman" w:cs="Times New Roman"/>
          <w:b/>
          <w:sz w:val="28"/>
        </w:rPr>
        <w:t>O</w:t>
      </w:r>
      <w:r w:rsidR="009C3558">
        <w:rPr>
          <w:rFonts w:ascii="Times New Roman" w:hAnsi="Times New Roman" w:cs="Times New Roman"/>
          <w:b/>
          <w:sz w:val="28"/>
        </w:rPr>
        <w:t>besity in India</w:t>
      </w:r>
    </w:p>
    <w:p w14:paraId="2CBD6711" w14:textId="77777777" w:rsidR="00D90A74" w:rsidRDefault="00D90A74" w:rsidP="00D90A74">
      <w:pPr>
        <w:spacing w:after="0" w:line="360" w:lineRule="auto"/>
        <w:jc w:val="center"/>
        <w:rPr>
          <w:rFonts w:ascii="Times New Roman" w:hAnsi="Times New Roman" w:cs="Times New Roman"/>
          <w:b/>
          <w:sz w:val="24"/>
        </w:rPr>
      </w:pPr>
    </w:p>
    <w:p w14:paraId="7927BCA2" w14:textId="77777777" w:rsidR="009C3558" w:rsidRDefault="00AE038D" w:rsidP="00D90A74">
      <w:pPr>
        <w:spacing w:after="0" w:line="360" w:lineRule="auto"/>
        <w:jc w:val="center"/>
        <w:rPr>
          <w:rFonts w:ascii="Times New Roman" w:hAnsi="Times New Roman" w:cs="Times New Roman"/>
          <w:b/>
          <w:sz w:val="24"/>
        </w:rPr>
      </w:pPr>
      <w:r>
        <w:rPr>
          <w:rFonts w:ascii="Times New Roman" w:hAnsi="Times New Roman" w:cs="Times New Roman"/>
          <w:b/>
          <w:sz w:val="24"/>
        </w:rPr>
        <w:t>Kuhu Joshi</w:t>
      </w:r>
      <w:r w:rsidR="00D90A74">
        <w:rPr>
          <w:rFonts w:ascii="Times New Roman" w:hAnsi="Times New Roman" w:cs="Times New Roman"/>
          <w:b/>
          <w:sz w:val="24"/>
          <w:vertAlign w:val="superscript"/>
        </w:rPr>
        <w:t>a</w:t>
      </w:r>
      <w:r>
        <w:rPr>
          <w:rFonts w:ascii="Times New Roman" w:hAnsi="Times New Roman" w:cs="Times New Roman"/>
          <w:b/>
          <w:sz w:val="24"/>
        </w:rPr>
        <w:t xml:space="preserve"> and Avinash Kishore</w:t>
      </w:r>
      <w:r w:rsidR="00D90A74">
        <w:rPr>
          <w:rFonts w:ascii="Times New Roman" w:hAnsi="Times New Roman" w:cs="Times New Roman"/>
          <w:b/>
          <w:sz w:val="24"/>
          <w:vertAlign w:val="superscript"/>
        </w:rPr>
        <w:t>a</w:t>
      </w:r>
    </w:p>
    <w:p w14:paraId="047C7B4E" w14:textId="77777777" w:rsidR="00D90A74" w:rsidRPr="00D90A74" w:rsidRDefault="00D90A74" w:rsidP="00D90A74">
      <w:pPr>
        <w:spacing w:after="0" w:line="360" w:lineRule="auto"/>
        <w:jc w:val="center"/>
        <w:rPr>
          <w:rFonts w:ascii="Times New Roman" w:hAnsi="Times New Roman" w:cs="Times New Roman"/>
          <w:b/>
          <w:sz w:val="24"/>
        </w:rPr>
      </w:pPr>
      <w:r>
        <w:rPr>
          <w:rFonts w:ascii="Times New Roman" w:hAnsi="Times New Roman" w:cs="Times New Roman"/>
          <w:b/>
          <w:sz w:val="24"/>
          <w:vertAlign w:val="superscript"/>
        </w:rPr>
        <w:t>a</w:t>
      </w:r>
      <w:r>
        <w:rPr>
          <w:rFonts w:ascii="Times New Roman" w:hAnsi="Times New Roman" w:cs="Times New Roman"/>
          <w:b/>
          <w:sz w:val="24"/>
        </w:rPr>
        <w:t>International Food Policy Research Institute</w:t>
      </w:r>
    </w:p>
    <w:p w14:paraId="36931AE8" w14:textId="77777777" w:rsidR="009C3558" w:rsidRDefault="009C3558" w:rsidP="009C3558">
      <w:pPr>
        <w:spacing w:line="360" w:lineRule="auto"/>
        <w:jc w:val="both"/>
        <w:rPr>
          <w:rFonts w:ascii="Times New Roman" w:hAnsi="Times New Roman" w:cs="Times New Roman"/>
          <w:b/>
          <w:sz w:val="24"/>
        </w:rPr>
      </w:pPr>
    </w:p>
    <w:p w14:paraId="447BF944" w14:textId="77777777" w:rsidR="00213437" w:rsidRDefault="00213437" w:rsidP="009C3558">
      <w:pPr>
        <w:spacing w:line="360" w:lineRule="auto"/>
        <w:jc w:val="both"/>
        <w:rPr>
          <w:rFonts w:ascii="Times New Roman" w:hAnsi="Times New Roman" w:cs="Times New Roman"/>
          <w:b/>
          <w:sz w:val="24"/>
        </w:rPr>
      </w:pPr>
    </w:p>
    <w:p w14:paraId="63168E60" w14:textId="77777777" w:rsidR="009C3558" w:rsidRDefault="009C3558" w:rsidP="009C3558">
      <w:pPr>
        <w:spacing w:line="360" w:lineRule="auto"/>
        <w:jc w:val="both"/>
        <w:rPr>
          <w:rFonts w:ascii="Times New Roman" w:hAnsi="Times New Roman" w:cs="Times New Roman"/>
          <w:b/>
          <w:sz w:val="24"/>
        </w:rPr>
      </w:pPr>
    </w:p>
    <w:p w14:paraId="7360EF8F" w14:textId="77777777" w:rsidR="009C3558" w:rsidRDefault="009C3558" w:rsidP="009C3558">
      <w:pPr>
        <w:spacing w:line="360" w:lineRule="auto"/>
        <w:jc w:val="center"/>
        <w:rPr>
          <w:rFonts w:ascii="Times New Roman" w:hAnsi="Times New Roman" w:cs="Times New Roman"/>
          <w:b/>
          <w:sz w:val="24"/>
        </w:rPr>
      </w:pPr>
      <w:r>
        <w:rPr>
          <w:rFonts w:ascii="Times New Roman" w:hAnsi="Times New Roman" w:cs="Times New Roman"/>
          <w:b/>
          <w:sz w:val="24"/>
        </w:rPr>
        <w:t>Abstract</w:t>
      </w:r>
    </w:p>
    <w:p w14:paraId="68D3365C" w14:textId="6B6A7103" w:rsidR="009C3558" w:rsidRPr="00603E30" w:rsidRDefault="00B157C8" w:rsidP="00E40471">
      <w:pPr>
        <w:spacing w:line="360" w:lineRule="auto"/>
        <w:rPr>
          <w:rFonts w:ascii="Times New Roman" w:hAnsi="Times New Roman" w:cs="Times New Roman"/>
          <w:sz w:val="24"/>
        </w:rPr>
      </w:pPr>
      <w:r>
        <w:rPr>
          <w:rFonts w:ascii="Times New Roman" w:hAnsi="Times New Roman" w:cs="Times New Roman"/>
          <w:sz w:val="24"/>
        </w:rPr>
        <w:t>Better</w:t>
      </w:r>
      <w:r w:rsidRPr="00603E30">
        <w:rPr>
          <w:rFonts w:ascii="Times New Roman" w:hAnsi="Times New Roman" w:cs="Times New Roman"/>
          <w:sz w:val="24"/>
        </w:rPr>
        <w:t xml:space="preserve"> </w:t>
      </w:r>
      <w:r w:rsidR="00DB7745" w:rsidRPr="00603E30">
        <w:rPr>
          <w:rFonts w:ascii="Times New Roman" w:hAnsi="Times New Roman" w:cs="Times New Roman"/>
          <w:sz w:val="24"/>
        </w:rPr>
        <w:t xml:space="preserve">status </w:t>
      </w:r>
      <w:r>
        <w:rPr>
          <w:rFonts w:ascii="Times New Roman" w:hAnsi="Times New Roman" w:cs="Times New Roman"/>
          <w:sz w:val="24"/>
        </w:rPr>
        <w:t xml:space="preserve">in the family </w:t>
      </w:r>
      <w:r w:rsidR="000B6C51">
        <w:rPr>
          <w:rFonts w:ascii="Times New Roman" w:hAnsi="Times New Roman" w:cs="Times New Roman"/>
          <w:sz w:val="24"/>
        </w:rPr>
        <w:t>is associated with</w:t>
      </w:r>
      <w:r w:rsidR="0056737F">
        <w:rPr>
          <w:rFonts w:ascii="Times New Roman" w:hAnsi="Times New Roman" w:cs="Times New Roman"/>
          <w:sz w:val="24"/>
        </w:rPr>
        <w:t xml:space="preserve"> </w:t>
      </w:r>
      <w:r>
        <w:rPr>
          <w:rFonts w:ascii="Times New Roman" w:hAnsi="Times New Roman" w:cs="Times New Roman"/>
          <w:sz w:val="24"/>
        </w:rPr>
        <w:t>higher</w:t>
      </w:r>
      <w:r w:rsidR="00DB7745" w:rsidRPr="00603E30">
        <w:rPr>
          <w:rFonts w:ascii="Times New Roman" w:hAnsi="Times New Roman" w:cs="Times New Roman"/>
          <w:sz w:val="24"/>
        </w:rPr>
        <w:t xml:space="preserve"> body mass index</w:t>
      </w:r>
      <w:r w:rsidR="0054684E" w:rsidRPr="00603E30">
        <w:rPr>
          <w:rFonts w:ascii="Times New Roman" w:hAnsi="Times New Roman" w:cs="Times New Roman"/>
          <w:sz w:val="24"/>
        </w:rPr>
        <w:t xml:space="preserve"> (BMI)</w:t>
      </w:r>
      <w:r w:rsidR="000B6C51">
        <w:rPr>
          <w:rFonts w:ascii="Times New Roman" w:hAnsi="Times New Roman" w:cs="Times New Roman"/>
          <w:sz w:val="24"/>
        </w:rPr>
        <w:t xml:space="preserve"> for women in developing countries</w:t>
      </w:r>
      <w:r w:rsidR="00475AF5">
        <w:rPr>
          <w:rFonts w:ascii="Times New Roman" w:hAnsi="Times New Roman" w:cs="Times New Roman"/>
          <w:sz w:val="24"/>
        </w:rPr>
        <w:t xml:space="preserve">. </w:t>
      </w:r>
      <w:r w:rsidR="00BA518E">
        <w:rPr>
          <w:rFonts w:ascii="Times New Roman" w:hAnsi="Times New Roman" w:cs="Times New Roman"/>
          <w:sz w:val="24"/>
        </w:rPr>
        <w:t xml:space="preserve">This is a desirable </w:t>
      </w:r>
      <w:r w:rsidR="009C39FE">
        <w:rPr>
          <w:rFonts w:ascii="Times New Roman" w:hAnsi="Times New Roman" w:cs="Times New Roman"/>
          <w:sz w:val="24"/>
        </w:rPr>
        <w:t xml:space="preserve">outcome of empowerment for </w:t>
      </w:r>
      <w:proofErr w:type="gramStart"/>
      <w:r w:rsidR="009C39FE">
        <w:rPr>
          <w:rFonts w:ascii="Times New Roman" w:hAnsi="Times New Roman" w:cs="Times New Roman"/>
          <w:sz w:val="24"/>
        </w:rPr>
        <w:t>a large number of</w:t>
      </w:r>
      <w:proofErr w:type="gramEnd"/>
      <w:r w:rsidR="009C39FE">
        <w:rPr>
          <w:rFonts w:ascii="Times New Roman" w:hAnsi="Times New Roman" w:cs="Times New Roman"/>
          <w:sz w:val="24"/>
        </w:rPr>
        <w:t xml:space="preserve"> women who are underweight. However, the recent National Family Health Survey (NFHS-4) data shows that high BMI is </w:t>
      </w:r>
      <w:r w:rsidR="00B845B1">
        <w:rPr>
          <w:rFonts w:ascii="Times New Roman" w:hAnsi="Times New Roman" w:cs="Times New Roman"/>
          <w:sz w:val="24"/>
        </w:rPr>
        <w:t xml:space="preserve">a </w:t>
      </w:r>
      <w:r w:rsidR="009C39FE">
        <w:rPr>
          <w:rFonts w:ascii="Times New Roman" w:hAnsi="Times New Roman" w:cs="Times New Roman"/>
          <w:sz w:val="24"/>
        </w:rPr>
        <w:t>growing problem for women in all parts of India. Does the correlation between household status and BMI change sign for women with high BMIs (&gt;25 kg/m</w:t>
      </w:r>
      <w:r w:rsidR="009C39FE">
        <w:rPr>
          <w:rFonts w:ascii="Times New Roman" w:hAnsi="Times New Roman" w:cs="Times New Roman"/>
          <w:sz w:val="24"/>
          <w:vertAlign w:val="superscript"/>
        </w:rPr>
        <w:t>2</w:t>
      </w:r>
      <w:r w:rsidR="009C39FE">
        <w:rPr>
          <w:rFonts w:ascii="Times New Roman" w:hAnsi="Times New Roman" w:cs="Times New Roman"/>
          <w:sz w:val="24"/>
        </w:rPr>
        <w:t xml:space="preserve">)? We use quantile regression with NFHS-4 data to measure the correlation between </w:t>
      </w:r>
      <w:r w:rsidR="00FA41F9">
        <w:rPr>
          <w:rFonts w:ascii="Times New Roman" w:hAnsi="Times New Roman" w:cs="Times New Roman"/>
          <w:sz w:val="24"/>
        </w:rPr>
        <w:t xml:space="preserve">plausibly exogenous measures of </w:t>
      </w:r>
      <w:r w:rsidR="009C39FE">
        <w:rPr>
          <w:rFonts w:ascii="Times New Roman" w:hAnsi="Times New Roman" w:cs="Times New Roman"/>
          <w:sz w:val="24"/>
        </w:rPr>
        <w:t xml:space="preserve">intra-household status of married women and their BMI over the entire distribution of </w:t>
      </w:r>
      <w:r w:rsidR="00FA41F9">
        <w:rPr>
          <w:rFonts w:ascii="Times New Roman" w:hAnsi="Times New Roman" w:cs="Times New Roman"/>
          <w:sz w:val="24"/>
        </w:rPr>
        <w:t xml:space="preserve">the </w:t>
      </w:r>
      <w:r w:rsidR="009C39FE">
        <w:rPr>
          <w:rFonts w:ascii="Times New Roman" w:hAnsi="Times New Roman" w:cs="Times New Roman"/>
          <w:sz w:val="24"/>
        </w:rPr>
        <w:t xml:space="preserve">BMI values. </w:t>
      </w:r>
      <w:r w:rsidR="00501099">
        <w:rPr>
          <w:rFonts w:ascii="Times New Roman" w:hAnsi="Times New Roman" w:cs="Times New Roman"/>
          <w:sz w:val="24"/>
        </w:rPr>
        <w:t>I</w:t>
      </w:r>
      <w:r w:rsidR="00C46D20">
        <w:rPr>
          <w:rFonts w:ascii="Times New Roman" w:hAnsi="Times New Roman" w:cs="Times New Roman"/>
          <w:sz w:val="24"/>
        </w:rPr>
        <w:t xml:space="preserve">n </w:t>
      </w:r>
      <w:r w:rsidR="00AC1C5F">
        <w:rPr>
          <w:rFonts w:ascii="Times New Roman" w:hAnsi="Times New Roman" w:cs="Times New Roman"/>
          <w:sz w:val="24"/>
        </w:rPr>
        <w:t xml:space="preserve">a culture that prefers sons, a woman has higher intrahousehold status if her first-born child is male. </w:t>
      </w:r>
      <w:r w:rsidR="00411E4B">
        <w:rPr>
          <w:rFonts w:ascii="Times New Roman" w:hAnsi="Times New Roman" w:cs="Times New Roman"/>
          <w:sz w:val="24"/>
        </w:rPr>
        <w:t xml:space="preserve">We find </w:t>
      </w:r>
      <w:r w:rsidR="005737E4" w:rsidRPr="00E40471">
        <w:rPr>
          <w:rFonts w:ascii="Times New Roman" w:hAnsi="Times New Roman" w:cs="Times New Roman"/>
          <w:sz w:val="24"/>
        </w:rPr>
        <w:t xml:space="preserve">that </w:t>
      </w:r>
      <w:r w:rsidR="00A51563" w:rsidRPr="00E40471">
        <w:rPr>
          <w:rFonts w:ascii="Times New Roman" w:hAnsi="Times New Roman" w:cs="Times New Roman"/>
          <w:sz w:val="24"/>
        </w:rPr>
        <w:t>having a</w:t>
      </w:r>
      <w:r w:rsidR="00353D10" w:rsidRPr="00E40471">
        <w:rPr>
          <w:rFonts w:ascii="Times New Roman" w:hAnsi="Times New Roman" w:cs="Times New Roman"/>
          <w:sz w:val="24"/>
        </w:rPr>
        <w:t xml:space="preserve"> first-born</w:t>
      </w:r>
      <w:r w:rsidR="00A51563" w:rsidRPr="00E40471">
        <w:rPr>
          <w:rFonts w:ascii="Times New Roman" w:hAnsi="Times New Roman" w:cs="Times New Roman"/>
          <w:sz w:val="24"/>
        </w:rPr>
        <w:t xml:space="preserve"> male</w:t>
      </w:r>
      <w:r w:rsidR="00353D10" w:rsidRPr="00E40471">
        <w:rPr>
          <w:rFonts w:ascii="Times New Roman" w:hAnsi="Times New Roman" w:cs="Times New Roman"/>
          <w:sz w:val="24"/>
        </w:rPr>
        <w:t xml:space="preserve"> child </w:t>
      </w:r>
      <w:r w:rsidR="00A51563" w:rsidRPr="00E40471">
        <w:rPr>
          <w:rFonts w:ascii="Times New Roman" w:hAnsi="Times New Roman" w:cs="Times New Roman"/>
          <w:sz w:val="24"/>
        </w:rPr>
        <w:t xml:space="preserve">increases a woman’s </w:t>
      </w:r>
      <w:r w:rsidR="005737E4" w:rsidRPr="00E40471">
        <w:rPr>
          <w:rFonts w:ascii="Times New Roman" w:hAnsi="Times New Roman" w:cs="Times New Roman"/>
          <w:sz w:val="24"/>
        </w:rPr>
        <w:t xml:space="preserve">BMI across </w:t>
      </w:r>
      <w:r w:rsidR="005753E5">
        <w:rPr>
          <w:rFonts w:ascii="Times New Roman" w:hAnsi="Times New Roman" w:cs="Times New Roman"/>
          <w:sz w:val="24"/>
        </w:rPr>
        <w:t>all</w:t>
      </w:r>
      <w:r w:rsidR="005737E4" w:rsidRPr="00E40471">
        <w:rPr>
          <w:rFonts w:ascii="Times New Roman" w:hAnsi="Times New Roman" w:cs="Times New Roman"/>
          <w:sz w:val="24"/>
        </w:rPr>
        <w:t xml:space="preserve"> </w:t>
      </w:r>
      <w:r w:rsidR="002A5986" w:rsidRPr="00E40471">
        <w:rPr>
          <w:rFonts w:ascii="Times New Roman" w:hAnsi="Times New Roman" w:cs="Times New Roman"/>
          <w:sz w:val="24"/>
        </w:rPr>
        <w:t xml:space="preserve">BMI </w:t>
      </w:r>
      <w:r w:rsidR="005737E4" w:rsidRPr="00E40471">
        <w:rPr>
          <w:rFonts w:ascii="Times New Roman" w:hAnsi="Times New Roman" w:cs="Times New Roman"/>
          <w:sz w:val="24"/>
        </w:rPr>
        <w:t>percentiles</w:t>
      </w:r>
      <w:r w:rsidR="00B22D03">
        <w:rPr>
          <w:rFonts w:ascii="Times New Roman" w:hAnsi="Times New Roman" w:cs="Times New Roman"/>
          <w:sz w:val="24"/>
        </w:rPr>
        <w:t>:</w:t>
      </w:r>
      <w:r w:rsidR="0020754F" w:rsidRPr="009143F7">
        <w:rPr>
          <w:rFonts w:ascii="Times New Roman" w:hAnsi="Times New Roman" w:cs="Times New Roman"/>
          <w:sz w:val="24"/>
        </w:rPr>
        <w:t xml:space="preserve"> by </w:t>
      </w:r>
      <w:r w:rsidR="00374A9B">
        <w:rPr>
          <w:rFonts w:ascii="Times New Roman" w:hAnsi="Times New Roman" w:cs="Times New Roman"/>
          <w:sz w:val="24"/>
        </w:rPr>
        <w:t>0.0</w:t>
      </w:r>
      <w:r w:rsidR="00AD42A0">
        <w:rPr>
          <w:rFonts w:ascii="Times New Roman" w:hAnsi="Times New Roman" w:cs="Times New Roman"/>
          <w:sz w:val="24"/>
        </w:rPr>
        <w:t>1</w:t>
      </w:r>
      <w:r w:rsidR="00B07199">
        <w:rPr>
          <w:rFonts w:ascii="Times New Roman" w:hAnsi="Times New Roman" w:cs="Times New Roman"/>
          <w:sz w:val="24"/>
        </w:rPr>
        <w:t xml:space="preserve"> standard deviations</w:t>
      </w:r>
      <w:r w:rsidR="00F22FF7" w:rsidRPr="009143F7">
        <w:rPr>
          <w:rFonts w:ascii="Times New Roman" w:hAnsi="Times New Roman" w:cs="Times New Roman"/>
          <w:sz w:val="24"/>
        </w:rPr>
        <w:t xml:space="preserve"> </w:t>
      </w:r>
      <w:r w:rsidR="006315FC">
        <w:rPr>
          <w:rFonts w:ascii="Times New Roman" w:hAnsi="Times New Roman" w:cs="Times New Roman"/>
          <w:sz w:val="24"/>
        </w:rPr>
        <w:t>at the bottom two percentiles</w:t>
      </w:r>
      <w:r w:rsidR="00F22FF7" w:rsidRPr="009143F7">
        <w:rPr>
          <w:rFonts w:ascii="Times New Roman" w:hAnsi="Times New Roman" w:cs="Times New Roman"/>
          <w:sz w:val="24"/>
        </w:rPr>
        <w:t xml:space="preserve"> (</w:t>
      </w:r>
      <w:r w:rsidR="00B22D03">
        <w:rPr>
          <w:rFonts w:ascii="Times New Roman" w:hAnsi="Times New Roman" w:cs="Times New Roman"/>
          <w:sz w:val="24"/>
        </w:rPr>
        <w:t xml:space="preserve">where </w:t>
      </w:r>
      <w:r w:rsidR="00F22FF7" w:rsidRPr="009143F7">
        <w:rPr>
          <w:rFonts w:ascii="Times New Roman" w:hAnsi="Times New Roman" w:cs="Times New Roman"/>
          <w:sz w:val="24"/>
        </w:rPr>
        <w:t>BMI</w:t>
      </w:r>
      <w:r w:rsidR="0043007D">
        <w:rPr>
          <w:rFonts w:ascii="Times New Roman" w:hAnsi="Times New Roman" w:cs="Times New Roman"/>
          <w:sz w:val="24"/>
        </w:rPr>
        <w:t xml:space="preserve"> </w:t>
      </w:r>
      <w:r w:rsidR="0043007D" w:rsidRPr="0043007D">
        <w:rPr>
          <w:rFonts w:ascii="Times New Roman" w:hAnsi="Times New Roman" w:cs="Times New Roman"/>
          <w:sz w:val="24"/>
        </w:rPr>
        <w:t>≤</w:t>
      </w:r>
      <w:r w:rsidR="0043007D">
        <w:rPr>
          <w:rFonts w:ascii="Times New Roman" w:hAnsi="Times New Roman" w:cs="Times New Roman"/>
          <w:sz w:val="24"/>
        </w:rPr>
        <w:t xml:space="preserve"> </w:t>
      </w:r>
      <w:r w:rsidR="00F22FF7" w:rsidRPr="009143F7">
        <w:rPr>
          <w:rFonts w:ascii="Times New Roman" w:hAnsi="Times New Roman" w:cs="Times New Roman"/>
          <w:sz w:val="24"/>
        </w:rPr>
        <w:t>18</w:t>
      </w:r>
      <w:r w:rsidR="00F229C0">
        <w:rPr>
          <w:rFonts w:ascii="Times New Roman" w:hAnsi="Times New Roman" w:cs="Times New Roman"/>
          <w:sz w:val="24"/>
        </w:rPr>
        <w:t xml:space="preserve"> </w:t>
      </w:r>
      <w:r w:rsidR="00F229C0">
        <w:rPr>
          <w:rFonts w:ascii="Times New Roman" w:hAnsi="Times New Roman" w:cs="Times New Roman"/>
          <w:sz w:val="24"/>
          <w:szCs w:val="24"/>
        </w:rPr>
        <w:t>kg/m</w:t>
      </w:r>
      <w:r w:rsidR="00F229C0">
        <w:rPr>
          <w:rFonts w:ascii="Times New Roman" w:hAnsi="Times New Roman" w:cs="Times New Roman"/>
          <w:sz w:val="24"/>
          <w:szCs w:val="24"/>
          <w:vertAlign w:val="superscript"/>
        </w:rPr>
        <w:t>2</w:t>
      </w:r>
      <w:r w:rsidR="00F22FF7" w:rsidRPr="009143F7">
        <w:rPr>
          <w:rFonts w:ascii="Times New Roman" w:hAnsi="Times New Roman" w:cs="Times New Roman"/>
          <w:sz w:val="24"/>
        </w:rPr>
        <w:t>)</w:t>
      </w:r>
      <w:r w:rsidR="0020754F" w:rsidRPr="009143F7">
        <w:rPr>
          <w:rFonts w:ascii="Times New Roman" w:hAnsi="Times New Roman" w:cs="Times New Roman"/>
          <w:sz w:val="24"/>
        </w:rPr>
        <w:t xml:space="preserve">, </w:t>
      </w:r>
      <w:r w:rsidR="00F229C0">
        <w:rPr>
          <w:rFonts w:ascii="Times New Roman" w:hAnsi="Times New Roman" w:cs="Times New Roman"/>
          <w:sz w:val="24"/>
        </w:rPr>
        <w:t xml:space="preserve">by </w:t>
      </w:r>
      <w:r w:rsidR="00AD42A0">
        <w:rPr>
          <w:rFonts w:ascii="Times New Roman" w:hAnsi="Times New Roman" w:cs="Times New Roman"/>
          <w:sz w:val="24"/>
        </w:rPr>
        <w:t>0.05</w:t>
      </w:r>
      <w:r w:rsidR="006B5AA9" w:rsidRPr="006B5AA9">
        <w:rPr>
          <w:rFonts w:ascii="Times New Roman" w:hAnsi="Times New Roman" w:cs="Times New Roman"/>
          <w:sz w:val="24"/>
        </w:rPr>
        <w:t xml:space="preserve"> </w:t>
      </w:r>
      <w:r w:rsidR="006B5AA9">
        <w:rPr>
          <w:rFonts w:ascii="Times New Roman" w:hAnsi="Times New Roman" w:cs="Times New Roman"/>
          <w:sz w:val="24"/>
        </w:rPr>
        <w:t>standard deviation</w:t>
      </w:r>
      <w:r w:rsidR="00403349">
        <w:rPr>
          <w:rFonts w:ascii="Times New Roman" w:hAnsi="Times New Roman" w:cs="Times New Roman"/>
          <w:sz w:val="24"/>
        </w:rPr>
        <w:t>s</w:t>
      </w:r>
      <w:r w:rsidR="0020754F" w:rsidRPr="009143F7">
        <w:rPr>
          <w:rFonts w:ascii="Times New Roman" w:hAnsi="Times New Roman" w:cs="Times New Roman"/>
          <w:sz w:val="24"/>
        </w:rPr>
        <w:t xml:space="preserve"> </w:t>
      </w:r>
      <w:r w:rsidR="006315FC">
        <w:rPr>
          <w:rFonts w:ascii="Times New Roman" w:hAnsi="Times New Roman" w:cs="Times New Roman"/>
          <w:sz w:val="24"/>
        </w:rPr>
        <w:t>between the 30</w:t>
      </w:r>
      <w:r w:rsidR="006315FC" w:rsidRPr="00E40471">
        <w:rPr>
          <w:rFonts w:ascii="Times New Roman" w:hAnsi="Times New Roman" w:cs="Times New Roman"/>
          <w:sz w:val="24"/>
          <w:vertAlign w:val="superscript"/>
        </w:rPr>
        <w:t>th</w:t>
      </w:r>
      <w:r w:rsidR="006315FC">
        <w:rPr>
          <w:rFonts w:ascii="Times New Roman" w:hAnsi="Times New Roman" w:cs="Times New Roman"/>
          <w:sz w:val="24"/>
        </w:rPr>
        <w:t xml:space="preserve"> </w:t>
      </w:r>
      <w:r w:rsidR="00B22D03">
        <w:rPr>
          <w:rFonts w:ascii="Times New Roman" w:hAnsi="Times New Roman" w:cs="Times New Roman"/>
          <w:sz w:val="24"/>
        </w:rPr>
        <w:t>and</w:t>
      </w:r>
      <w:r w:rsidR="006315FC">
        <w:rPr>
          <w:rFonts w:ascii="Times New Roman" w:hAnsi="Times New Roman" w:cs="Times New Roman"/>
          <w:sz w:val="24"/>
        </w:rPr>
        <w:t xml:space="preserve"> 70</w:t>
      </w:r>
      <w:r w:rsidR="006315FC" w:rsidRPr="00E40471">
        <w:rPr>
          <w:rFonts w:ascii="Times New Roman" w:hAnsi="Times New Roman" w:cs="Times New Roman"/>
          <w:sz w:val="24"/>
          <w:vertAlign w:val="superscript"/>
        </w:rPr>
        <w:t>th</w:t>
      </w:r>
      <w:r w:rsidR="006315FC">
        <w:rPr>
          <w:rFonts w:ascii="Times New Roman" w:hAnsi="Times New Roman" w:cs="Times New Roman"/>
          <w:sz w:val="24"/>
        </w:rPr>
        <w:t xml:space="preserve"> percentiles</w:t>
      </w:r>
      <w:r w:rsidR="00F22FF7" w:rsidRPr="009143F7">
        <w:rPr>
          <w:rFonts w:ascii="Times New Roman" w:hAnsi="Times New Roman" w:cs="Times New Roman"/>
          <w:sz w:val="24"/>
        </w:rPr>
        <w:t xml:space="preserve"> (</w:t>
      </w:r>
      <w:r w:rsidR="00B22D03">
        <w:rPr>
          <w:rFonts w:ascii="Times New Roman" w:hAnsi="Times New Roman" w:cs="Times New Roman"/>
          <w:sz w:val="24"/>
        </w:rPr>
        <w:t xml:space="preserve">where </w:t>
      </w:r>
      <w:r w:rsidR="00F22FF7" w:rsidRPr="009143F7">
        <w:rPr>
          <w:rFonts w:ascii="Times New Roman" w:hAnsi="Times New Roman" w:cs="Times New Roman"/>
          <w:sz w:val="24"/>
        </w:rPr>
        <w:t xml:space="preserve">BMI </w:t>
      </w:r>
      <w:r w:rsidR="00E87B7B">
        <w:rPr>
          <w:rFonts w:ascii="Times New Roman" w:hAnsi="Times New Roman" w:cs="Times New Roman"/>
          <w:sz w:val="24"/>
        </w:rPr>
        <w:t xml:space="preserve">is </w:t>
      </w:r>
      <w:r w:rsidR="00F22FF7" w:rsidRPr="009143F7">
        <w:rPr>
          <w:rFonts w:ascii="Times New Roman" w:hAnsi="Times New Roman" w:cs="Times New Roman"/>
          <w:sz w:val="24"/>
        </w:rPr>
        <w:t>1</w:t>
      </w:r>
      <w:r w:rsidR="007D1DCB">
        <w:rPr>
          <w:rFonts w:ascii="Times New Roman" w:hAnsi="Times New Roman" w:cs="Times New Roman"/>
          <w:sz w:val="24"/>
        </w:rPr>
        <w:t>9 to 2</w:t>
      </w:r>
      <w:r w:rsidR="00F02D55">
        <w:rPr>
          <w:rFonts w:ascii="Times New Roman" w:hAnsi="Times New Roman" w:cs="Times New Roman"/>
          <w:sz w:val="24"/>
        </w:rPr>
        <w:t>3</w:t>
      </w:r>
      <w:r w:rsidR="00F229C0">
        <w:rPr>
          <w:rFonts w:ascii="Times New Roman" w:hAnsi="Times New Roman" w:cs="Times New Roman"/>
          <w:sz w:val="24"/>
        </w:rPr>
        <w:t xml:space="preserve"> </w:t>
      </w:r>
      <w:r w:rsidR="00F229C0">
        <w:rPr>
          <w:rFonts w:ascii="Times New Roman" w:hAnsi="Times New Roman" w:cs="Times New Roman"/>
          <w:sz w:val="24"/>
          <w:szCs w:val="24"/>
        </w:rPr>
        <w:t>kg/m</w:t>
      </w:r>
      <w:r w:rsidR="00F229C0">
        <w:rPr>
          <w:rFonts w:ascii="Times New Roman" w:hAnsi="Times New Roman" w:cs="Times New Roman"/>
          <w:sz w:val="24"/>
          <w:szCs w:val="24"/>
          <w:vertAlign w:val="superscript"/>
        </w:rPr>
        <w:t>2</w:t>
      </w:r>
      <w:r w:rsidR="00F22FF7" w:rsidRPr="009143F7">
        <w:rPr>
          <w:rFonts w:ascii="Times New Roman" w:hAnsi="Times New Roman" w:cs="Times New Roman"/>
          <w:sz w:val="24"/>
        </w:rPr>
        <w:t>)</w:t>
      </w:r>
      <w:r w:rsidR="0020754F" w:rsidRPr="009143F7">
        <w:rPr>
          <w:rFonts w:ascii="Times New Roman" w:hAnsi="Times New Roman" w:cs="Times New Roman"/>
          <w:sz w:val="24"/>
        </w:rPr>
        <w:t xml:space="preserve">, and </w:t>
      </w:r>
      <w:r w:rsidR="00F229C0">
        <w:rPr>
          <w:rFonts w:ascii="Times New Roman" w:hAnsi="Times New Roman" w:cs="Times New Roman"/>
          <w:sz w:val="24"/>
        </w:rPr>
        <w:t xml:space="preserve">by </w:t>
      </w:r>
      <w:r w:rsidR="00AE1F94">
        <w:rPr>
          <w:rFonts w:ascii="Times New Roman" w:hAnsi="Times New Roman" w:cs="Times New Roman"/>
          <w:sz w:val="24"/>
        </w:rPr>
        <w:t>0.02</w:t>
      </w:r>
      <w:r w:rsidR="006B5AA9">
        <w:rPr>
          <w:rFonts w:ascii="Times New Roman" w:hAnsi="Times New Roman" w:cs="Times New Roman"/>
          <w:sz w:val="24"/>
        </w:rPr>
        <w:t xml:space="preserve"> standard deviations</w:t>
      </w:r>
      <w:r w:rsidR="006315FC">
        <w:rPr>
          <w:rFonts w:ascii="Times New Roman" w:hAnsi="Times New Roman" w:cs="Times New Roman"/>
          <w:sz w:val="24"/>
        </w:rPr>
        <w:t xml:space="preserve"> at the top two percentiles</w:t>
      </w:r>
      <w:r w:rsidR="00F22FF7" w:rsidRPr="009143F7">
        <w:rPr>
          <w:rFonts w:ascii="Times New Roman" w:hAnsi="Times New Roman" w:cs="Times New Roman"/>
          <w:sz w:val="24"/>
        </w:rPr>
        <w:t xml:space="preserve"> (</w:t>
      </w:r>
      <w:r w:rsidR="00B22D03">
        <w:rPr>
          <w:rFonts w:ascii="Times New Roman" w:hAnsi="Times New Roman" w:cs="Times New Roman"/>
          <w:sz w:val="24"/>
        </w:rPr>
        <w:t xml:space="preserve">where </w:t>
      </w:r>
      <w:r w:rsidR="00F22FF7" w:rsidRPr="009143F7">
        <w:rPr>
          <w:rFonts w:ascii="Times New Roman" w:hAnsi="Times New Roman" w:cs="Times New Roman"/>
          <w:sz w:val="24"/>
        </w:rPr>
        <w:t>BMI</w:t>
      </w:r>
      <w:r w:rsidR="0043007D">
        <w:rPr>
          <w:rFonts w:ascii="Times New Roman" w:hAnsi="Times New Roman" w:cs="Times New Roman"/>
          <w:sz w:val="24"/>
        </w:rPr>
        <w:t xml:space="preserve"> </w:t>
      </w:r>
      <w:r w:rsidR="0043007D" w:rsidRPr="0043007D">
        <w:rPr>
          <w:rFonts w:ascii="Times New Roman" w:hAnsi="Times New Roman" w:cs="Times New Roman"/>
          <w:sz w:val="24"/>
        </w:rPr>
        <w:t>≥</w:t>
      </w:r>
      <w:r w:rsidR="0043007D">
        <w:rPr>
          <w:rFonts w:ascii="Times New Roman" w:hAnsi="Times New Roman" w:cs="Times New Roman"/>
          <w:sz w:val="24"/>
        </w:rPr>
        <w:t xml:space="preserve"> </w:t>
      </w:r>
      <w:r w:rsidR="00F22FF7" w:rsidRPr="009143F7">
        <w:rPr>
          <w:rFonts w:ascii="Times New Roman" w:hAnsi="Times New Roman" w:cs="Times New Roman"/>
          <w:sz w:val="24"/>
        </w:rPr>
        <w:t>2</w:t>
      </w:r>
      <w:r w:rsidR="00F02D55">
        <w:rPr>
          <w:rFonts w:ascii="Times New Roman" w:hAnsi="Times New Roman" w:cs="Times New Roman"/>
          <w:sz w:val="24"/>
        </w:rPr>
        <w:t>4</w:t>
      </w:r>
      <w:r w:rsidR="00F229C0">
        <w:rPr>
          <w:rFonts w:ascii="Times New Roman" w:hAnsi="Times New Roman" w:cs="Times New Roman"/>
          <w:sz w:val="24"/>
        </w:rPr>
        <w:t xml:space="preserve"> </w:t>
      </w:r>
      <w:r w:rsidR="00F229C0">
        <w:rPr>
          <w:rFonts w:ascii="Times New Roman" w:hAnsi="Times New Roman" w:cs="Times New Roman"/>
          <w:sz w:val="24"/>
          <w:szCs w:val="24"/>
        </w:rPr>
        <w:t>kg/m</w:t>
      </w:r>
      <w:r w:rsidR="00F229C0">
        <w:rPr>
          <w:rFonts w:ascii="Times New Roman" w:hAnsi="Times New Roman" w:cs="Times New Roman"/>
          <w:sz w:val="24"/>
          <w:szCs w:val="24"/>
          <w:vertAlign w:val="superscript"/>
        </w:rPr>
        <w:t>2</w:t>
      </w:r>
      <w:r w:rsidR="00F22FF7" w:rsidRPr="009143F7">
        <w:rPr>
          <w:rFonts w:ascii="Times New Roman" w:hAnsi="Times New Roman" w:cs="Times New Roman"/>
          <w:sz w:val="24"/>
        </w:rPr>
        <w:t>)</w:t>
      </w:r>
      <w:r w:rsidR="0020754F" w:rsidRPr="009143F7">
        <w:rPr>
          <w:rFonts w:ascii="Times New Roman" w:hAnsi="Times New Roman" w:cs="Times New Roman"/>
          <w:sz w:val="24"/>
        </w:rPr>
        <w:t>.</w:t>
      </w:r>
      <w:r w:rsidR="00856859">
        <w:rPr>
          <w:rFonts w:ascii="Times New Roman" w:hAnsi="Times New Roman" w:cs="Times New Roman"/>
          <w:sz w:val="24"/>
        </w:rPr>
        <w:t xml:space="preserve"> </w:t>
      </w:r>
      <w:r w:rsidR="00AC1C5F">
        <w:rPr>
          <w:rFonts w:ascii="Times New Roman" w:hAnsi="Times New Roman" w:cs="Times New Roman"/>
          <w:sz w:val="24"/>
        </w:rPr>
        <w:t>O</w:t>
      </w:r>
      <w:r w:rsidR="00AC1C5F" w:rsidRPr="00603E30">
        <w:rPr>
          <w:rFonts w:ascii="Times New Roman" w:hAnsi="Times New Roman" w:cs="Times New Roman"/>
          <w:sz w:val="24"/>
        </w:rPr>
        <w:t>ur result</w:t>
      </w:r>
      <w:r w:rsidR="00FA41F9">
        <w:rPr>
          <w:rFonts w:ascii="Times New Roman" w:hAnsi="Times New Roman" w:cs="Times New Roman"/>
          <w:sz w:val="24"/>
        </w:rPr>
        <w:t xml:space="preserve">s are </w:t>
      </w:r>
      <w:r w:rsidR="00AC1C5F" w:rsidRPr="00603E30">
        <w:rPr>
          <w:rFonts w:ascii="Times New Roman" w:hAnsi="Times New Roman" w:cs="Times New Roman"/>
          <w:sz w:val="24"/>
        </w:rPr>
        <w:t>robust to</w:t>
      </w:r>
      <w:r w:rsidR="00C5330D">
        <w:rPr>
          <w:rFonts w:ascii="Times New Roman" w:hAnsi="Times New Roman" w:cs="Times New Roman"/>
          <w:sz w:val="24"/>
        </w:rPr>
        <w:t xml:space="preserve"> </w:t>
      </w:r>
      <w:r w:rsidR="00FA41F9">
        <w:rPr>
          <w:rFonts w:ascii="Times New Roman" w:hAnsi="Times New Roman" w:cs="Times New Roman"/>
          <w:sz w:val="24"/>
        </w:rPr>
        <w:t xml:space="preserve">the inclusion of </w:t>
      </w:r>
      <w:r w:rsidR="00AC1C5F" w:rsidRPr="00603E30">
        <w:rPr>
          <w:rFonts w:ascii="Times New Roman" w:hAnsi="Times New Roman" w:cs="Times New Roman"/>
          <w:sz w:val="24"/>
        </w:rPr>
        <w:t xml:space="preserve">other measures of </w:t>
      </w:r>
      <w:r w:rsidR="00122341">
        <w:rPr>
          <w:rFonts w:ascii="Times New Roman" w:hAnsi="Times New Roman" w:cs="Times New Roman"/>
          <w:sz w:val="24"/>
        </w:rPr>
        <w:t xml:space="preserve">intrahousehold </w:t>
      </w:r>
      <w:r w:rsidR="00AC1C5F" w:rsidRPr="00603E30">
        <w:rPr>
          <w:rFonts w:ascii="Times New Roman" w:hAnsi="Times New Roman" w:cs="Times New Roman"/>
          <w:sz w:val="24"/>
        </w:rPr>
        <w:t>status like education and occupation.</w:t>
      </w:r>
      <w:r w:rsidR="00AC1C5F">
        <w:rPr>
          <w:rFonts w:ascii="Times New Roman" w:hAnsi="Times New Roman" w:cs="Times New Roman"/>
          <w:sz w:val="24"/>
        </w:rPr>
        <w:t xml:space="preserve"> </w:t>
      </w:r>
      <w:r w:rsidR="004F6185" w:rsidRPr="00603E30">
        <w:rPr>
          <w:rFonts w:ascii="Times New Roman" w:hAnsi="Times New Roman" w:cs="Times New Roman"/>
          <w:sz w:val="24"/>
        </w:rPr>
        <w:t>W</w:t>
      </w:r>
      <w:r w:rsidR="00FE7C96" w:rsidRPr="00603E30">
        <w:rPr>
          <w:rFonts w:ascii="Times New Roman" w:hAnsi="Times New Roman" w:cs="Times New Roman"/>
          <w:sz w:val="24"/>
        </w:rPr>
        <w:t xml:space="preserve">e trace two mechanisms </w:t>
      </w:r>
      <w:r w:rsidR="00FA41F9">
        <w:rPr>
          <w:rFonts w:ascii="Times New Roman" w:hAnsi="Times New Roman" w:cs="Times New Roman"/>
          <w:sz w:val="24"/>
        </w:rPr>
        <w:t>through</w:t>
      </w:r>
      <w:r w:rsidR="00FA41F9" w:rsidRPr="00603E30">
        <w:rPr>
          <w:rFonts w:ascii="Times New Roman" w:hAnsi="Times New Roman" w:cs="Times New Roman"/>
          <w:sz w:val="24"/>
        </w:rPr>
        <w:t xml:space="preserve"> </w:t>
      </w:r>
      <w:r w:rsidR="00FE7C96" w:rsidRPr="00603E30">
        <w:rPr>
          <w:rFonts w:ascii="Times New Roman" w:hAnsi="Times New Roman" w:cs="Times New Roman"/>
          <w:sz w:val="24"/>
        </w:rPr>
        <w:t xml:space="preserve">which improved status </w:t>
      </w:r>
      <w:r w:rsidR="00C31923">
        <w:rPr>
          <w:rFonts w:ascii="Times New Roman" w:hAnsi="Times New Roman" w:cs="Times New Roman"/>
          <w:sz w:val="24"/>
        </w:rPr>
        <w:t xml:space="preserve">can </w:t>
      </w:r>
      <w:r w:rsidR="00FE7C96" w:rsidRPr="00603E30">
        <w:rPr>
          <w:rFonts w:ascii="Times New Roman" w:hAnsi="Times New Roman" w:cs="Times New Roman"/>
          <w:sz w:val="24"/>
        </w:rPr>
        <w:t>lead</w:t>
      </w:r>
      <w:r w:rsidR="00CF01E8">
        <w:rPr>
          <w:rFonts w:ascii="Times New Roman" w:hAnsi="Times New Roman" w:cs="Times New Roman"/>
          <w:sz w:val="24"/>
        </w:rPr>
        <w:t xml:space="preserve"> </w:t>
      </w:r>
      <w:r w:rsidR="00FE7C96" w:rsidRPr="00603E30">
        <w:rPr>
          <w:rFonts w:ascii="Times New Roman" w:hAnsi="Times New Roman" w:cs="Times New Roman"/>
          <w:sz w:val="24"/>
        </w:rPr>
        <w:t xml:space="preserve">to higher BMI </w:t>
      </w:r>
      <w:r w:rsidR="00316596" w:rsidRPr="00603E30">
        <w:rPr>
          <w:rFonts w:ascii="Times New Roman" w:hAnsi="Times New Roman" w:cs="Times New Roman"/>
          <w:sz w:val="24"/>
        </w:rPr>
        <w:t>i</w:t>
      </w:r>
      <w:r w:rsidR="00395F61" w:rsidRPr="00603E30">
        <w:rPr>
          <w:rFonts w:ascii="Times New Roman" w:hAnsi="Times New Roman" w:cs="Times New Roman"/>
          <w:sz w:val="24"/>
        </w:rPr>
        <w:t>n an obesogenic environment</w:t>
      </w:r>
      <w:r w:rsidR="00316596" w:rsidRPr="00603E30">
        <w:rPr>
          <w:rFonts w:ascii="Times New Roman" w:hAnsi="Times New Roman" w:cs="Times New Roman"/>
          <w:sz w:val="24"/>
        </w:rPr>
        <w:t>.</w:t>
      </w:r>
      <w:r w:rsidR="00395F61" w:rsidRPr="00603E30">
        <w:rPr>
          <w:rFonts w:ascii="Times New Roman" w:hAnsi="Times New Roman" w:cs="Times New Roman"/>
          <w:sz w:val="24"/>
        </w:rPr>
        <w:t xml:space="preserve"> </w:t>
      </w:r>
      <w:r w:rsidR="00316596" w:rsidRPr="00603E30">
        <w:rPr>
          <w:rFonts w:ascii="Times New Roman" w:hAnsi="Times New Roman" w:cs="Times New Roman"/>
          <w:sz w:val="24"/>
        </w:rPr>
        <w:t>One, i</w:t>
      </w:r>
      <w:r w:rsidR="00395F61" w:rsidRPr="00603E30">
        <w:rPr>
          <w:rFonts w:ascii="Times New Roman" w:hAnsi="Times New Roman" w:cs="Times New Roman"/>
          <w:sz w:val="24"/>
        </w:rPr>
        <w:t>mproved status is associated with</w:t>
      </w:r>
      <w:r w:rsidR="00316596" w:rsidRPr="00603E30">
        <w:rPr>
          <w:rFonts w:ascii="Times New Roman" w:hAnsi="Times New Roman" w:cs="Times New Roman"/>
          <w:sz w:val="24"/>
        </w:rPr>
        <w:t xml:space="preserve"> </w:t>
      </w:r>
      <w:r w:rsidR="00DA4EC0" w:rsidRPr="00603E30">
        <w:rPr>
          <w:rFonts w:ascii="Times New Roman" w:hAnsi="Times New Roman" w:cs="Times New Roman"/>
          <w:sz w:val="24"/>
        </w:rPr>
        <w:t>higher</w:t>
      </w:r>
      <w:r w:rsidR="00316596" w:rsidRPr="00603E30">
        <w:rPr>
          <w:rFonts w:ascii="Times New Roman" w:hAnsi="Times New Roman" w:cs="Times New Roman"/>
          <w:sz w:val="24"/>
        </w:rPr>
        <w:t xml:space="preserve"> </w:t>
      </w:r>
      <w:r w:rsidR="002F7DC1" w:rsidRPr="00603E30">
        <w:rPr>
          <w:rFonts w:ascii="Times New Roman" w:hAnsi="Times New Roman" w:cs="Times New Roman"/>
          <w:sz w:val="24"/>
        </w:rPr>
        <w:t>leisure</w:t>
      </w:r>
      <w:r w:rsidR="00395F61" w:rsidRPr="00603E30">
        <w:rPr>
          <w:rFonts w:ascii="Times New Roman" w:hAnsi="Times New Roman" w:cs="Times New Roman"/>
          <w:sz w:val="24"/>
        </w:rPr>
        <w:t xml:space="preserve"> </w:t>
      </w:r>
      <w:r w:rsidR="00316596" w:rsidRPr="00603E30">
        <w:rPr>
          <w:rFonts w:ascii="Times New Roman" w:hAnsi="Times New Roman" w:cs="Times New Roman"/>
          <w:sz w:val="24"/>
        </w:rPr>
        <w:t xml:space="preserve">consumption: women </w:t>
      </w:r>
      <w:r w:rsidR="008162D6" w:rsidRPr="00603E30">
        <w:rPr>
          <w:rFonts w:ascii="Times New Roman" w:hAnsi="Times New Roman" w:cs="Times New Roman"/>
          <w:sz w:val="24"/>
        </w:rPr>
        <w:t>whose first-born child is male</w:t>
      </w:r>
      <w:r w:rsidR="008C06A6" w:rsidRPr="00603E30">
        <w:rPr>
          <w:rFonts w:ascii="Times New Roman" w:hAnsi="Times New Roman" w:cs="Times New Roman"/>
          <w:sz w:val="24"/>
        </w:rPr>
        <w:t xml:space="preserve"> are </w:t>
      </w:r>
      <w:r w:rsidR="00E31EEC">
        <w:rPr>
          <w:rFonts w:ascii="Times New Roman" w:hAnsi="Times New Roman" w:cs="Times New Roman"/>
          <w:sz w:val="24"/>
        </w:rPr>
        <w:t>0.4%</w:t>
      </w:r>
      <w:r w:rsidR="008C06A6" w:rsidRPr="00603E30">
        <w:rPr>
          <w:rFonts w:ascii="Times New Roman" w:hAnsi="Times New Roman" w:cs="Times New Roman"/>
          <w:sz w:val="24"/>
        </w:rPr>
        <w:t xml:space="preserve"> more likely to watch television</w:t>
      </w:r>
      <w:r w:rsidR="00E038BB" w:rsidRPr="00603E30">
        <w:rPr>
          <w:rFonts w:ascii="Times New Roman" w:hAnsi="Times New Roman" w:cs="Times New Roman"/>
          <w:sz w:val="24"/>
        </w:rPr>
        <w:t xml:space="preserve"> </w:t>
      </w:r>
      <w:r w:rsidR="00BC740A" w:rsidRPr="00603E30">
        <w:rPr>
          <w:rFonts w:ascii="Times New Roman" w:hAnsi="Times New Roman" w:cs="Times New Roman"/>
          <w:sz w:val="24"/>
        </w:rPr>
        <w:t>daily</w:t>
      </w:r>
      <w:r w:rsidR="00E81B9F" w:rsidRPr="00603E30">
        <w:rPr>
          <w:rFonts w:ascii="Times New Roman" w:hAnsi="Times New Roman" w:cs="Times New Roman"/>
          <w:sz w:val="24"/>
        </w:rPr>
        <w:t>/weekly</w:t>
      </w:r>
      <w:r w:rsidR="008162D6" w:rsidRPr="00603E30">
        <w:rPr>
          <w:rFonts w:ascii="Times New Roman" w:hAnsi="Times New Roman" w:cs="Times New Roman"/>
          <w:sz w:val="24"/>
        </w:rPr>
        <w:t>.</w:t>
      </w:r>
      <w:r w:rsidR="00316596" w:rsidRPr="00603E30">
        <w:rPr>
          <w:rFonts w:ascii="Times New Roman" w:hAnsi="Times New Roman" w:cs="Times New Roman"/>
          <w:sz w:val="24"/>
        </w:rPr>
        <w:t xml:space="preserve"> Two, improved status is associated </w:t>
      </w:r>
      <w:r w:rsidR="00395F61" w:rsidRPr="00603E30">
        <w:rPr>
          <w:rFonts w:ascii="Times New Roman" w:hAnsi="Times New Roman" w:cs="Times New Roman"/>
          <w:sz w:val="24"/>
        </w:rPr>
        <w:t>with a</w:t>
      </w:r>
      <w:r w:rsidR="0098430F" w:rsidRPr="00603E30">
        <w:rPr>
          <w:rFonts w:ascii="Times New Roman" w:hAnsi="Times New Roman" w:cs="Times New Roman"/>
          <w:sz w:val="24"/>
        </w:rPr>
        <w:t xml:space="preserve"> </w:t>
      </w:r>
      <w:r w:rsidR="00E31EEC">
        <w:rPr>
          <w:rFonts w:ascii="Times New Roman" w:hAnsi="Times New Roman" w:cs="Times New Roman"/>
          <w:sz w:val="24"/>
        </w:rPr>
        <w:t>2%</w:t>
      </w:r>
      <w:r w:rsidR="00395F61" w:rsidRPr="00603E30">
        <w:rPr>
          <w:rFonts w:ascii="Times New Roman" w:hAnsi="Times New Roman" w:cs="Times New Roman"/>
          <w:sz w:val="24"/>
        </w:rPr>
        <w:t xml:space="preserve"> </w:t>
      </w:r>
      <w:r w:rsidR="00AB4802">
        <w:rPr>
          <w:rFonts w:ascii="Times New Roman" w:hAnsi="Times New Roman" w:cs="Times New Roman"/>
          <w:sz w:val="24"/>
        </w:rPr>
        <w:t>higher</w:t>
      </w:r>
      <w:r w:rsidR="00395F61" w:rsidRPr="00603E30">
        <w:rPr>
          <w:rFonts w:ascii="Times New Roman" w:hAnsi="Times New Roman" w:cs="Times New Roman"/>
          <w:sz w:val="24"/>
        </w:rPr>
        <w:t xml:space="preserve"> likelihood of eating out</w:t>
      </w:r>
      <w:r w:rsidR="00316596" w:rsidRPr="00603E30">
        <w:rPr>
          <w:rFonts w:ascii="Times New Roman" w:hAnsi="Times New Roman" w:cs="Times New Roman"/>
          <w:sz w:val="24"/>
        </w:rPr>
        <w:t xml:space="preserve">, </w:t>
      </w:r>
      <w:r w:rsidR="001B5008" w:rsidRPr="00603E30">
        <w:rPr>
          <w:rFonts w:ascii="Times New Roman" w:hAnsi="Times New Roman" w:cs="Times New Roman"/>
          <w:sz w:val="24"/>
        </w:rPr>
        <w:t>especially</w:t>
      </w:r>
      <w:r w:rsidR="00316596" w:rsidRPr="00603E30">
        <w:rPr>
          <w:rFonts w:ascii="Times New Roman" w:hAnsi="Times New Roman" w:cs="Times New Roman"/>
          <w:sz w:val="24"/>
        </w:rPr>
        <w:t xml:space="preserve"> in urban areas.</w:t>
      </w:r>
    </w:p>
    <w:p w14:paraId="09D9598B" w14:textId="77777777" w:rsidR="009C3558" w:rsidRDefault="009C3558" w:rsidP="009C3558">
      <w:pPr>
        <w:spacing w:line="360" w:lineRule="auto"/>
        <w:jc w:val="both"/>
        <w:rPr>
          <w:rFonts w:ascii="Times New Roman" w:hAnsi="Times New Roman" w:cs="Times New Roman"/>
          <w:b/>
          <w:sz w:val="24"/>
        </w:rPr>
      </w:pPr>
    </w:p>
    <w:p w14:paraId="724CCF1B" w14:textId="77777777" w:rsidR="009C3558" w:rsidRDefault="009C3558" w:rsidP="009C3558">
      <w:pPr>
        <w:spacing w:line="360" w:lineRule="auto"/>
        <w:jc w:val="both"/>
        <w:rPr>
          <w:rFonts w:ascii="Times New Roman" w:hAnsi="Times New Roman" w:cs="Times New Roman"/>
          <w:b/>
          <w:sz w:val="24"/>
        </w:rPr>
      </w:pPr>
      <w:r>
        <w:rPr>
          <w:rFonts w:ascii="Times New Roman" w:hAnsi="Times New Roman" w:cs="Times New Roman"/>
          <w:b/>
          <w:sz w:val="24"/>
        </w:rPr>
        <w:br w:type="page"/>
      </w:r>
    </w:p>
    <w:p w14:paraId="07B2460F" w14:textId="77777777" w:rsidR="009C3558" w:rsidRDefault="009C3558" w:rsidP="009C355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5D365BAE" w14:textId="77777777" w:rsidR="007E27C2" w:rsidRDefault="00B624D1"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growing literature in developing countries identifies a woman’s intrahousehold status as an important </w:t>
      </w:r>
      <w:r w:rsidR="002F7525">
        <w:rPr>
          <w:rFonts w:ascii="Times New Roman" w:hAnsi="Times New Roman" w:cs="Times New Roman"/>
          <w:sz w:val="24"/>
          <w:szCs w:val="24"/>
        </w:rPr>
        <w:t xml:space="preserve">determinant of </w:t>
      </w:r>
      <w:r>
        <w:rPr>
          <w:rFonts w:ascii="Times New Roman" w:hAnsi="Times New Roman" w:cs="Times New Roman"/>
          <w:sz w:val="24"/>
          <w:szCs w:val="24"/>
        </w:rPr>
        <w:t>her health and wellbeing.</w:t>
      </w:r>
      <w:r w:rsidR="00A20FED">
        <w:rPr>
          <w:rFonts w:ascii="Times New Roman" w:hAnsi="Times New Roman" w:cs="Times New Roman"/>
          <w:sz w:val="24"/>
          <w:szCs w:val="24"/>
        </w:rPr>
        <w:t xml:space="preserve"> An improvement in</w:t>
      </w:r>
      <w:r w:rsidR="002F7525">
        <w:rPr>
          <w:rFonts w:ascii="Times New Roman" w:hAnsi="Times New Roman" w:cs="Times New Roman"/>
          <w:sz w:val="24"/>
          <w:szCs w:val="24"/>
        </w:rPr>
        <w:t xml:space="preserve"> intrahousehold status</w:t>
      </w:r>
      <w:r w:rsidR="00A20FED">
        <w:rPr>
          <w:rFonts w:ascii="Times New Roman" w:hAnsi="Times New Roman" w:cs="Times New Roman"/>
          <w:sz w:val="24"/>
          <w:szCs w:val="24"/>
        </w:rPr>
        <w:t xml:space="preserve"> can improve</w:t>
      </w:r>
      <w:r w:rsidR="00C21CA0">
        <w:rPr>
          <w:rFonts w:ascii="Times New Roman" w:hAnsi="Times New Roman" w:cs="Times New Roman"/>
          <w:sz w:val="24"/>
          <w:szCs w:val="24"/>
        </w:rPr>
        <w:t xml:space="preserve"> </w:t>
      </w:r>
      <w:r w:rsidR="002F7525">
        <w:rPr>
          <w:rFonts w:ascii="Times New Roman" w:hAnsi="Times New Roman" w:cs="Times New Roman"/>
          <w:sz w:val="24"/>
          <w:szCs w:val="24"/>
        </w:rPr>
        <w:t>dietary diversity and</w:t>
      </w:r>
      <w:r w:rsidR="00A20FED">
        <w:rPr>
          <w:rFonts w:ascii="Times New Roman" w:hAnsi="Times New Roman" w:cs="Times New Roman"/>
          <w:sz w:val="24"/>
          <w:szCs w:val="24"/>
        </w:rPr>
        <w:t xml:space="preserve"> increase </w:t>
      </w:r>
      <w:r w:rsidR="002F7525">
        <w:rPr>
          <w:rFonts w:ascii="Times New Roman" w:hAnsi="Times New Roman" w:cs="Times New Roman"/>
          <w:sz w:val="24"/>
          <w:szCs w:val="24"/>
        </w:rPr>
        <w:t>body mass index</w:t>
      </w:r>
      <w:r w:rsidR="0096548F">
        <w:rPr>
          <w:rFonts w:ascii="Times New Roman" w:hAnsi="Times New Roman" w:cs="Times New Roman"/>
          <w:sz w:val="24"/>
          <w:szCs w:val="24"/>
        </w:rPr>
        <w:t xml:space="preserve"> (BMI)</w:t>
      </w:r>
      <w:r w:rsidR="002F7525">
        <w:rPr>
          <w:rFonts w:ascii="Times New Roman" w:hAnsi="Times New Roman" w:cs="Times New Roman"/>
          <w:sz w:val="24"/>
          <w:szCs w:val="24"/>
        </w:rPr>
        <w:t xml:space="preserve">. It </w:t>
      </w:r>
      <w:r w:rsidR="00A20FED">
        <w:rPr>
          <w:rFonts w:ascii="Times New Roman" w:hAnsi="Times New Roman" w:cs="Times New Roman"/>
          <w:sz w:val="24"/>
          <w:szCs w:val="24"/>
        </w:rPr>
        <w:t xml:space="preserve">can lower the </w:t>
      </w:r>
      <w:r w:rsidR="002F7525">
        <w:rPr>
          <w:rFonts w:ascii="Times New Roman" w:hAnsi="Times New Roman" w:cs="Times New Roman"/>
          <w:sz w:val="24"/>
          <w:szCs w:val="24"/>
        </w:rPr>
        <w:t>probability of being underweight and anaemic, a</w:t>
      </w:r>
      <w:r w:rsidR="00A20FED">
        <w:rPr>
          <w:rFonts w:ascii="Times New Roman" w:hAnsi="Times New Roman" w:cs="Times New Roman"/>
          <w:sz w:val="24"/>
          <w:szCs w:val="24"/>
        </w:rPr>
        <w:t xml:space="preserve">nd lead to </w:t>
      </w:r>
      <w:r w:rsidR="002F7525">
        <w:rPr>
          <w:rFonts w:ascii="Times New Roman" w:hAnsi="Times New Roman" w:cs="Times New Roman"/>
          <w:sz w:val="24"/>
          <w:szCs w:val="24"/>
        </w:rPr>
        <w:t xml:space="preserve">lower levels </w:t>
      </w:r>
      <w:r w:rsidR="00090E65">
        <w:rPr>
          <w:rFonts w:ascii="Times New Roman" w:hAnsi="Times New Roman" w:cs="Times New Roman"/>
          <w:sz w:val="24"/>
          <w:szCs w:val="24"/>
        </w:rPr>
        <w:t>of mortality</w:t>
      </w:r>
      <w:r w:rsidR="002F7525">
        <w:rPr>
          <w:rFonts w:ascii="Times New Roman" w:hAnsi="Times New Roman" w:cs="Times New Roman"/>
          <w:sz w:val="24"/>
          <w:szCs w:val="24"/>
        </w:rPr>
        <w:t xml:space="preserve"> and morbidity</w:t>
      </w:r>
      <w:r w:rsidR="000C2D33">
        <w:rPr>
          <w:rFonts w:ascii="Times New Roman" w:hAnsi="Times New Roman" w:cs="Times New Roman"/>
          <w:sz w:val="24"/>
          <w:szCs w:val="24"/>
        </w:rPr>
        <w:t xml:space="preserve"> </w:t>
      </w:r>
      <w:r w:rsidR="000C2D33" w:rsidRPr="000C2D33">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{"citationItems":[{"id":"ITEM-1","itemData":{"author":[{"dropping-particle":"","family":"Calvi","given":"Rossella","non-dropping-particle":"","parse-names":false,"suffix":""}],"id":"ITEM-1","issued":{"date-parts":[["2017"]]},"title":"Why Are Older Women Missing in India? The Age Profile of Bargaining Power and Poverty","type":"report"},"uris":["http://www.mendeley.com/documents/?uuid=30a6a4da-676c-3d77-a966-3674dc94f08a"]},{"id":"ITEM-2","itemData":{"abstract":"Women empowerment could be the key to unlocking women's productivity potential in Africa. Women's contribution to the agricultural sector is greatly influenced by their health status. This paper examines the impact of women's empowerment in agriculture on women's health and the implications for the African food and agricultural sector. It utilizes a unique dataset from a 2012 survey of 2,405 women in northern Ghana and the Multiple Indicators Multiple Causes modeling approach. Findings provide insight on how gender-sensitive policies and private-public initiatives can translate into better health outcomes for women and improved capacity to meet future needs of food and agriculture in Africa. Initiatives focusing on increasing women's membership in social and economic groups, easing women's access to credit, and increasing women's incomes are some key empowerment strategies for improving women's health status and production capabilities.","author":[{"dropping-particle":"","family":"Ross","given":"Kara L","non-dropping-particle":"","parse-names":false,"suffix":""},{"dropping-particle":"","family":"Zereyesus","given":"Yacob A","non-dropping-particle":"","parse-names":false,"suffix":""},{"dropping-particle":"","family":"Shanoyan","given":"Aleksan","non-dropping-particle":"","parse-names":false,"suffix":""},{"dropping-particle":"","family":"Amanor-Boadu","given":"Vincent","non-dropping-particle":"","parse-names":false,"suffix":""}],"container-title":"International Food and Agribusiness Management Review","id":"ITEM-2","issued":{"date-parts":[["2015"]]},"title":"The Health Effects of Women Empowerment: Recent Evidence from Northern Ghana","type":"report","volume":"18"},"uris":["http://www.mendeley.com/documents/?uuid=cc773e1b-115c-3009-83ac-7ef8ec2b2f5b"]},{"id":"ITEM-3","itemData":{"author":[{"dropping-particle":"","family":"Malapit","given":"Hazel Jean L.","non-dropping-particle":"","parse-names":false,"suffix":""},{"dropping-particle":"","family":"Kadiyala","given":"Suneetha","non-dropping-particle":"","parse-names":false,"suffix":""},{"dropping-particle":"","family":"Quisumbing","given":"Agnes R.","non-dropping-particle":"","parse-names":false,"suffix":""},{"dropping-particle":"","family":"Cunningham","given":"Kenda","non-dropping-particle":"","parse-names":false,"suffix":""},{"dropping-particle":"","family":"Tyagi","given":"Parul","non-dropping-particle":"","parse-names":false,"suffix":""}],"id":"ITEM-3","issued":{"date-parts":[["2013"]]},"title":"Women’s empowerment in agriculture, production diversity, and nutrition: Evidence from Nepal","type":"report"},"uris":["http://www.mendeley.com/documents/?uuid=849bc444-b4c3-3d8a-94a8-0f6b7932a9c7"]}],"mendeley":{"formattedCitation":"(Calvi, 2017; Malapit, Kadiyala, Quisumbing, Cunningham, &amp; Tyagi, 2013; Ross, Zereyesus, Shanoyan, &amp; Amanor-Boadu, 2015)","plainTextFormattedCitation":"(Calvi, 2017; Malapit, Kadiyala, Quisumbing, Cunningham, &amp; Tyagi, 2013; Ross, Zereyesus, Shanoyan, &amp; Amanor-Boadu, 2015)","previouslyFormattedCitation":"(Calvi, 2017; Malapit, Kadiyala, Quisumbing, Cunningham, &amp; Tyagi, 2013; Ross, Zereyesus, Shanoyan, &amp; Amanor-Boadu, 2015)"},"properties":{"noteIndex":0},"schema":"https://github.com/citation-style-language/schema/raw/master/csl-citation.json"}</w:instrText>
      </w:r>
      <w:r w:rsidR="000C2D33" w:rsidRPr="000C2D33">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(Calvi, 2017; Malapit, Kadiyala, Quisumbing, Cunningham, &amp; Tyagi, 2013; Ross, Zereyesus, Shanoyan, &amp; Amanor-Boadu, 2015)</w:t>
      </w:r>
      <w:r w:rsidR="000C2D33" w:rsidRPr="000C2D33">
        <w:rPr>
          <w:rFonts w:ascii="Times New Roman" w:hAnsi="Times New Roman" w:cs="Times New Roman"/>
          <w:sz w:val="24"/>
          <w:szCs w:val="24"/>
        </w:rPr>
        <w:fldChar w:fldCharType="end"/>
      </w:r>
      <w:r w:rsidR="002F7525" w:rsidRPr="000C2D33">
        <w:rPr>
          <w:rFonts w:ascii="Times New Roman" w:hAnsi="Times New Roman" w:cs="Times New Roman"/>
          <w:sz w:val="24"/>
          <w:szCs w:val="24"/>
        </w:rPr>
        <w:t>.</w:t>
      </w:r>
      <w:r w:rsidR="00775BAF">
        <w:rPr>
          <w:rFonts w:ascii="Times New Roman" w:hAnsi="Times New Roman" w:cs="Times New Roman"/>
          <w:sz w:val="24"/>
          <w:szCs w:val="24"/>
        </w:rPr>
        <w:t xml:space="preserve"> A </w:t>
      </w:r>
      <w:r w:rsidR="005435E6">
        <w:rPr>
          <w:rFonts w:ascii="Times New Roman" w:hAnsi="Times New Roman" w:cs="Times New Roman"/>
          <w:sz w:val="24"/>
          <w:szCs w:val="24"/>
        </w:rPr>
        <w:t>w</w:t>
      </w:r>
      <w:r w:rsidR="00775BAF">
        <w:rPr>
          <w:rFonts w:ascii="Times New Roman" w:hAnsi="Times New Roman" w:cs="Times New Roman"/>
          <w:sz w:val="24"/>
          <w:szCs w:val="24"/>
        </w:rPr>
        <w:t xml:space="preserve">oman’s intrahousehold status is also an important determinant of her children’s health and wellbeing </w:t>
      </w:r>
      <w:r w:rsidR="00775BAF">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{"citationItems":[{"id":"ITEM-1","itemData":{"author":[{"dropping-particle":"","family":"Smith","given":"Lisa C","non-dropping-particle":"","parse-names":false,"suffix":""},{"dropping-particle":"","family":"Ramakrishnan","given":"Usha","non-dropping-particle":"","parse-names":false,"suffix":""},{"dropping-particle":"","family":"Ndiaye","given":"Aida","non-dropping-particle":"","parse-names":false,"suffix":""},{"dropping-particle":"","family":"Haddad","given":"Lawrence","non-dropping-particle":"","parse-names":false,"suffix":""},{"dropping-particle":"","family":"Martorell","given":"Reynaldo","non-dropping-particle":"","parse-names":false,"suffix":""}],"id":"ITEM-1","issued":{"date-parts":[["2002"]]},"title":"The Importance of Women's Status for Child Nutrition in Developing Countries","type":"report"},"uris":["http://www.mendeley.com/documents/?uuid=1271499b-0ddb-39b1-81f9-38bc5ec42a27"]}],"mendeley":{"formattedCitation":"(L. C. Smith, Ramakrishnan, Ndiaye, Haddad, &amp; Martorell, 2002)","plainTextFormattedCitation":"(L. C. Smith, Ramakrishnan, Ndiaye, Haddad, &amp; Martorell, 2002)","previouslyFormattedCitation":"(L. C. Smith, Ramakrishnan, Ndiaye, Haddad, &amp; Martorell, 2002)"},"properties":{"noteIndex":0},"schema":"https://github.com/citation-style-language/schema/raw/master/csl-citation.json"}</w:instrText>
      </w:r>
      <w:r w:rsidR="00775BAF">
        <w:rPr>
          <w:rFonts w:ascii="Times New Roman" w:hAnsi="Times New Roman" w:cs="Times New Roman"/>
          <w:sz w:val="24"/>
          <w:szCs w:val="24"/>
        </w:rPr>
        <w:fldChar w:fldCharType="separate"/>
      </w:r>
      <w:r w:rsidR="00775BAF" w:rsidRPr="005B2BDC">
        <w:rPr>
          <w:rFonts w:ascii="Times New Roman" w:hAnsi="Times New Roman" w:cs="Times New Roman"/>
          <w:noProof/>
          <w:sz w:val="24"/>
          <w:szCs w:val="24"/>
        </w:rPr>
        <w:t>(L. C. Smith, Ramakrishnan, Ndiaye, Haddad, &amp; Martorell, 2002)</w:t>
      </w:r>
      <w:r w:rsidR="00775BAF">
        <w:rPr>
          <w:rFonts w:ascii="Times New Roman" w:hAnsi="Times New Roman" w:cs="Times New Roman"/>
          <w:sz w:val="24"/>
          <w:szCs w:val="24"/>
        </w:rPr>
        <w:fldChar w:fldCharType="end"/>
      </w:r>
      <w:r w:rsidR="00775BAF">
        <w:rPr>
          <w:rFonts w:ascii="Times New Roman" w:hAnsi="Times New Roman" w:cs="Times New Roman"/>
          <w:sz w:val="24"/>
          <w:szCs w:val="24"/>
        </w:rPr>
        <w:t xml:space="preserve">. For instance, </w:t>
      </w:r>
      <w:r w:rsidR="00775BAF" w:rsidRPr="005B4734">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{"citationItems":[{"id":"ITEM-1","itemData":{"abstract":"We study the intergenerational effect of a woman's social status on the health of her children. We overcome limits to causal identification in existing literature by exploiting an institutional feature of joint households in rural India: women married to the younger brother are assigned lower social rank than women married to the older brother. Studying differences among cousins within households, we find that children of lower-ranking mothers are shorter than children of higher-ranking mothers. We further argue that this effect is in part due to differences in maternal nutrition: as evidence of this mechanism, we document effects of being a lower-ranking mother on post-partum BMI and birth weight in newly collected data, and on neonatal mortality in national data. Because the relatives who arrange the marriages that we study do not take the groom's age rank among brothers into consideration, more disadvantaged mothers are not more likely to be married to younger brothers. We show that women whose marriages assign them lower social rank are not disadvantaged in health, height, or human capital before marriage and that the difference in social status that we exploit emerges after marriage. We verify that our results are not due to pre-marriage differences between fathers or mothers; are not caused by endogenous household dissolution; and are only present among children of higher-and lower-ranking mothers living together in a joint household, but not among the children of brothers living in separate households.","author":[{"dropping-particle":"","family":"Coffey","given":"Diane","non-dropping-particle":"","parse-names":false,"suffix":""},{"dropping-particle":"","family":"Khera","given":"Reetika","non-dropping-particle":"","parse-names":false,"suffix":""},{"dropping-particle":"","family":"Spears","given":"Dean","non-dropping-particle":"","parse-names":false,"suffix":""}],"id":"ITEM-1","issued":{"date-parts":[["2015"]]},"title":"Intergenerational effects of women's status: Evidence from joint Indian households","type":"report"},"uris":["http://www.mendeley.com/documents/?uuid=578a3679-3bd8-3e84-8c90-6627c2c7ebcd"]}],"mendeley":{"formattedCitation":"(Coffey, Khera, &amp; Spears, 2015)","manualFormatting":"Coffey, Khera, and Spears (2015)","plainTextFormattedCitation":"(Coffey, Khera, &amp; Spears, 2015)","previouslyFormattedCitation":"(Coffey, Khera, &amp; Spears, 2015)"},"properties":{"noteIndex":0},"schema":"https://github.com/citation-style-language/schema/raw/master/csl-citation.json"}</w:instrText>
      </w:r>
      <w:r w:rsidR="00775BAF" w:rsidRPr="005B4734">
        <w:rPr>
          <w:rFonts w:ascii="Times New Roman" w:hAnsi="Times New Roman" w:cs="Times New Roman"/>
          <w:sz w:val="24"/>
          <w:szCs w:val="24"/>
        </w:rPr>
        <w:fldChar w:fldCharType="separate"/>
      </w:r>
      <w:r w:rsidR="00775BAF" w:rsidRPr="005B4734">
        <w:rPr>
          <w:rFonts w:ascii="Times New Roman" w:hAnsi="Times New Roman" w:cs="Times New Roman"/>
          <w:noProof/>
          <w:sz w:val="24"/>
          <w:szCs w:val="24"/>
        </w:rPr>
        <w:t>Coffey, Khera, and Spears (2015)</w:t>
      </w:r>
      <w:r w:rsidR="00775BAF" w:rsidRPr="005B4734">
        <w:rPr>
          <w:rFonts w:ascii="Times New Roman" w:hAnsi="Times New Roman" w:cs="Times New Roman"/>
          <w:sz w:val="24"/>
          <w:szCs w:val="24"/>
        </w:rPr>
        <w:fldChar w:fldCharType="end"/>
      </w:r>
      <w:r w:rsidR="00775BAF" w:rsidRPr="005B4734">
        <w:rPr>
          <w:rFonts w:ascii="Times New Roman" w:hAnsi="Times New Roman" w:cs="Times New Roman"/>
          <w:sz w:val="24"/>
          <w:szCs w:val="24"/>
        </w:rPr>
        <w:t xml:space="preserve"> </w:t>
      </w:r>
      <w:r w:rsidR="00775BAF">
        <w:rPr>
          <w:rFonts w:ascii="Times New Roman" w:hAnsi="Times New Roman" w:cs="Times New Roman"/>
          <w:sz w:val="24"/>
          <w:szCs w:val="24"/>
        </w:rPr>
        <w:t>show</w:t>
      </w:r>
      <w:r w:rsidR="00775BAF" w:rsidRPr="005B4734">
        <w:rPr>
          <w:rFonts w:ascii="Times New Roman" w:hAnsi="Times New Roman" w:cs="Times New Roman"/>
          <w:sz w:val="24"/>
          <w:szCs w:val="24"/>
        </w:rPr>
        <w:t xml:space="preserve"> that</w:t>
      </w:r>
      <w:r w:rsidR="00775BAF">
        <w:rPr>
          <w:rFonts w:ascii="Times New Roman" w:hAnsi="Times New Roman" w:cs="Times New Roman"/>
          <w:sz w:val="24"/>
          <w:szCs w:val="24"/>
        </w:rPr>
        <w:t xml:space="preserve"> Indian</w:t>
      </w:r>
      <w:r w:rsidR="00775BAF" w:rsidRPr="005B4734">
        <w:rPr>
          <w:rFonts w:ascii="Times New Roman" w:hAnsi="Times New Roman" w:cs="Times New Roman"/>
          <w:sz w:val="24"/>
          <w:szCs w:val="24"/>
        </w:rPr>
        <w:t xml:space="preserve"> women with lower intrahousehold status have shorter children and attribute this partly to lower maternal BMI.</w:t>
      </w:r>
    </w:p>
    <w:p w14:paraId="0967FED3" w14:textId="712CFAB9" w:rsidR="004B67EE" w:rsidRPr="00E40471" w:rsidRDefault="00550433" w:rsidP="009C355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Historically, a large proportion of Indian women were under</w:t>
      </w:r>
      <w:r w:rsidR="00CA3BF5">
        <w:rPr>
          <w:rFonts w:ascii="Times New Roman" w:hAnsi="Times New Roman" w:cs="Times New Roman"/>
          <w:sz w:val="24"/>
          <w:szCs w:val="24"/>
        </w:rPr>
        <w:t>weight</w:t>
      </w:r>
      <w:r>
        <w:rPr>
          <w:rFonts w:ascii="Times New Roman" w:hAnsi="Times New Roman" w:cs="Times New Roman"/>
          <w:sz w:val="24"/>
          <w:szCs w:val="24"/>
        </w:rPr>
        <w:t>, and consequently</w:t>
      </w:r>
      <w:r w:rsidR="00DC01C3">
        <w:rPr>
          <w:rFonts w:ascii="Times New Roman" w:hAnsi="Times New Roman" w:cs="Times New Roman"/>
          <w:sz w:val="24"/>
          <w:szCs w:val="24"/>
        </w:rPr>
        <w:t>,</w:t>
      </w:r>
      <w:r>
        <w:rPr>
          <w:rFonts w:ascii="Times New Roman" w:hAnsi="Times New Roman" w:cs="Times New Roman"/>
          <w:sz w:val="24"/>
          <w:szCs w:val="24"/>
        </w:rPr>
        <w:t xml:space="preserve"> high</w:t>
      </w:r>
      <w:r w:rsidR="00CE0538">
        <w:rPr>
          <w:rFonts w:ascii="Times New Roman" w:hAnsi="Times New Roman" w:cs="Times New Roman"/>
          <w:sz w:val="24"/>
          <w:szCs w:val="24"/>
        </w:rPr>
        <w:t>er</w:t>
      </w:r>
      <w:r>
        <w:rPr>
          <w:rFonts w:ascii="Times New Roman" w:hAnsi="Times New Roman" w:cs="Times New Roman"/>
          <w:sz w:val="24"/>
          <w:szCs w:val="24"/>
        </w:rPr>
        <w:t xml:space="preserve"> BMI was a desir</w:t>
      </w:r>
      <w:r w:rsidR="00526F7D">
        <w:rPr>
          <w:rFonts w:ascii="Times New Roman" w:hAnsi="Times New Roman" w:cs="Times New Roman"/>
          <w:sz w:val="24"/>
          <w:szCs w:val="24"/>
        </w:rPr>
        <w:t>ed</w:t>
      </w:r>
      <w:r>
        <w:rPr>
          <w:rFonts w:ascii="Times New Roman" w:hAnsi="Times New Roman" w:cs="Times New Roman"/>
          <w:sz w:val="24"/>
          <w:szCs w:val="24"/>
        </w:rPr>
        <w:t xml:space="preserve"> outcome of improved status.</w:t>
      </w:r>
      <w:r w:rsidR="002F2219">
        <w:rPr>
          <w:rFonts w:ascii="Times New Roman" w:hAnsi="Times New Roman" w:cs="Times New Roman"/>
          <w:sz w:val="24"/>
          <w:szCs w:val="24"/>
        </w:rPr>
        <w:t xml:space="preserve"> </w:t>
      </w:r>
      <w:r w:rsidR="00B157C8">
        <w:rPr>
          <w:rFonts w:ascii="Times New Roman" w:hAnsi="Times New Roman" w:cs="Times New Roman"/>
          <w:sz w:val="24"/>
          <w:szCs w:val="24"/>
        </w:rPr>
        <w:t xml:space="preserve">This is changing rapidly. Between </w:t>
      </w:r>
      <w:r w:rsidR="00116000">
        <w:rPr>
          <w:rFonts w:ascii="Times New Roman" w:hAnsi="Times New Roman" w:cs="Times New Roman"/>
          <w:sz w:val="24"/>
          <w:szCs w:val="24"/>
        </w:rPr>
        <w:t>2005-06 and 2015-16</w:t>
      </w:r>
      <w:r w:rsidR="002F2219">
        <w:rPr>
          <w:rFonts w:ascii="Times New Roman" w:hAnsi="Times New Roman" w:cs="Times New Roman"/>
          <w:sz w:val="24"/>
          <w:szCs w:val="24"/>
        </w:rPr>
        <w:t>,  the prevalence of underweight</w:t>
      </w:r>
      <w:r w:rsidR="0034484C">
        <w:rPr>
          <w:rFonts w:ascii="Times New Roman" w:hAnsi="Times New Roman" w:cs="Times New Roman"/>
          <w:sz w:val="24"/>
          <w:szCs w:val="24"/>
        </w:rPr>
        <w:t xml:space="preserve"> (</w:t>
      </w:r>
      <w:r w:rsidR="0034484C" w:rsidRPr="00EB0C01">
        <w:rPr>
          <w:rFonts w:ascii="Times New Roman" w:hAnsi="Times New Roman" w:cs="Times New Roman"/>
          <w:sz w:val="24"/>
        </w:rPr>
        <w:t>BMI</w:t>
      </w:r>
      <w:r w:rsidR="0034484C">
        <w:rPr>
          <w:rFonts w:ascii="Times New Roman" w:hAnsi="Times New Roman" w:cs="Times New Roman"/>
          <w:sz w:val="24"/>
        </w:rPr>
        <w:t xml:space="preserve"> </w:t>
      </w:r>
      <w:r w:rsidR="0034484C" w:rsidRPr="0043007D">
        <w:rPr>
          <w:rFonts w:ascii="Times New Roman" w:hAnsi="Times New Roman" w:cs="Times New Roman"/>
          <w:sz w:val="24"/>
        </w:rPr>
        <w:t>≤</w:t>
      </w:r>
      <w:r w:rsidR="0034484C">
        <w:rPr>
          <w:rFonts w:ascii="Times New Roman" w:hAnsi="Times New Roman" w:cs="Times New Roman"/>
          <w:sz w:val="24"/>
        </w:rPr>
        <w:t xml:space="preserve"> </w:t>
      </w:r>
      <w:r w:rsidR="0034484C" w:rsidRPr="00EB0C01">
        <w:rPr>
          <w:rFonts w:ascii="Times New Roman" w:hAnsi="Times New Roman" w:cs="Times New Roman"/>
          <w:sz w:val="24"/>
        </w:rPr>
        <w:t>18</w:t>
      </w:r>
      <w:r w:rsidR="0034484C">
        <w:rPr>
          <w:rFonts w:ascii="Times New Roman" w:hAnsi="Times New Roman" w:cs="Times New Roman"/>
          <w:sz w:val="24"/>
        </w:rPr>
        <w:t xml:space="preserve"> </w:t>
      </w:r>
      <w:r w:rsidR="0034484C">
        <w:rPr>
          <w:rFonts w:ascii="Times New Roman" w:hAnsi="Times New Roman" w:cs="Times New Roman"/>
          <w:sz w:val="24"/>
          <w:szCs w:val="24"/>
        </w:rPr>
        <w:t>kg/m</w:t>
      </w:r>
      <w:r w:rsidR="0034484C">
        <w:rPr>
          <w:rFonts w:ascii="Times New Roman" w:hAnsi="Times New Roman" w:cs="Times New Roman"/>
          <w:sz w:val="24"/>
          <w:szCs w:val="24"/>
          <w:vertAlign w:val="superscript"/>
        </w:rPr>
        <w:t>2</w:t>
      </w:r>
      <w:r w:rsidR="0034484C">
        <w:rPr>
          <w:rFonts w:ascii="Times New Roman" w:hAnsi="Times New Roman" w:cs="Times New Roman"/>
          <w:sz w:val="24"/>
          <w:szCs w:val="24"/>
        </w:rPr>
        <w:t xml:space="preserve">) </w:t>
      </w:r>
      <w:r w:rsidR="002F2219">
        <w:rPr>
          <w:rFonts w:ascii="Times New Roman" w:hAnsi="Times New Roman" w:cs="Times New Roman"/>
          <w:sz w:val="24"/>
          <w:szCs w:val="24"/>
        </w:rPr>
        <w:t>has gone down from 35.5% to 22.9%, while the prevalence of overweight and obesity</w:t>
      </w:r>
      <w:r w:rsidR="0034484C">
        <w:rPr>
          <w:rFonts w:ascii="Times New Roman" w:hAnsi="Times New Roman" w:cs="Times New Roman"/>
          <w:sz w:val="24"/>
          <w:szCs w:val="24"/>
        </w:rPr>
        <w:t xml:space="preserve"> (</w:t>
      </w:r>
      <w:r w:rsidR="0034484C" w:rsidRPr="00EB0C01">
        <w:rPr>
          <w:rFonts w:ascii="Times New Roman" w:hAnsi="Times New Roman" w:cs="Times New Roman"/>
          <w:sz w:val="24"/>
        </w:rPr>
        <w:t>BMI</w:t>
      </w:r>
      <w:r w:rsidR="0034484C">
        <w:rPr>
          <w:rFonts w:ascii="Times New Roman" w:hAnsi="Times New Roman" w:cs="Times New Roman"/>
          <w:sz w:val="24"/>
        </w:rPr>
        <w:t xml:space="preserve"> </w:t>
      </w:r>
      <w:r w:rsidR="0034484C" w:rsidRPr="0043007D">
        <w:rPr>
          <w:rFonts w:ascii="Times New Roman" w:hAnsi="Times New Roman" w:cs="Times New Roman"/>
          <w:sz w:val="24"/>
        </w:rPr>
        <w:t>≥</w:t>
      </w:r>
      <w:r w:rsidR="0034484C">
        <w:rPr>
          <w:rFonts w:ascii="Times New Roman" w:hAnsi="Times New Roman" w:cs="Times New Roman"/>
          <w:sz w:val="24"/>
        </w:rPr>
        <w:t xml:space="preserve"> </w:t>
      </w:r>
      <w:r w:rsidR="0034484C" w:rsidRPr="00EB0C01">
        <w:rPr>
          <w:rFonts w:ascii="Times New Roman" w:hAnsi="Times New Roman" w:cs="Times New Roman"/>
          <w:sz w:val="24"/>
        </w:rPr>
        <w:t>2</w:t>
      </w:r>
      <w:r w:rsidR="0034484C">
        <w:rPr>
          <w:rFonts w:ascii="Times New Roman" w:hAnsi="Times New Roman" w:cs="Times New Roman"/>
          <w:sz w:val="24"/>
        </w:rPr>
        <w:t xml:space="preserve">5 </w:t>
      </w:r>
      <w:r w:rsidR="0034484C">
        <w:rPr>
          <w:rFonts w:ascii="Times New Roman" w:hAnsi="Times New Roman" w:cs="Times New Roman"/>
          <w:sz w:val="24"/>
          <w:szCs w:val="24"/>
        </w:rPr>
        <w:t>kg/m</w:t>
      </w:r>
      <w:r w:rsidR="0034484C">
        <w:rPr>
          <w:rFonts w:ascii="Times New Roman" w:hAnsi="Times New Roman" w:cs="Times New Roman"/>
          <w:sz w:val="24"/>
          <w:szCs w:val="24"/>
          <w:vertAlign w:val="superscript"/>
        </w:rPr>
        <w:t>2</w:t>
      </w:r>
      <w:r w:rsidR="0034484C">
        <w:rPr>
          <w:rFonts w:ascii="Times New Roman" w:hAnsi="Times New Roman" w:cs="Times New Roman"/>
          <w:sz w:val="24"/>
          <w:szCs w:val="24"/>
        </w:rPr>
        <w:t xml:space="preserve">) </w:t>
      </w:r>
      <w:r w:rsidR="002F2219">
        <w:rPr>
          <w:rFonts w:ascii="Times New Roman" w:hAnsi="Times New Roman" w:cs="Times New Roman"/>
          <w:sz w:val="24"/>
          <w:szCs w:val="24"/>
        </w:rPr>
        <w:t xml:space="preserve">has risen from </w:t>
      </w:r>
      <w:r w:rsidR="002F2219">
        <w:rPr>
          <w:rFonts w:ascii="Times New Roman" w:eastAsia="Times New Roman" w:hAnsi="Times New Roman" w:cs="Times New Roman"/>
          <w:color w:val="000000"/>
          <w:sz w:val="24"/>
          <w:szCs w:val="24"/>
          <w:lang w:eastAsia="en-IN"/>
        </w:rPr>
        <w:t>12.60%</w:t>
      </w:r>
      <w:r w:rsidR="002F2219">
        <w:rPr>
          <w:rFonts w:ascii="Times New Roman" w:hAnsi="Times New Roman" w:cs="Times New Roman"/>
          <w:sz w:val="24"/>
          <w:szCs w:val="24"/>
        </w:rPr>
        <w:t xml:space="preserve"> to </w:t>
      </w:r>
      <w:r w:rsidR="002F2219">
        <w:rPr>
          <w:rFonts w:ascii="Times New Roman" w:eastAsia="Times New Roman" w:hAnsi="Times New Roman" w:cs="Times New Roman"/>
          <w:color w:val="000000"/>
          <w:sz w:val="24"/>
          <w:szCs w:val="24"/>
          <w:lang w:eastAsia="en-IN"/>
        </w:rPr>
        <w:t>20.70%</w:t>
      </w:r>
      <w:r w:rsidR="002F2219">
        <w:rPr>
          <w:rFonts w:ascii="Times New Roman" w:hAnsi="Times New Roman" w:cs="Times New Roman"/>
          <w:sz w:val="24"/>
          <w:szCs w:val="24"/>
        </w:rPr>
        <w:t xml:space="preserve"> among women</w:t>
      </w:r>
      <w:r w:rsidR="00CE0538">
        <w:rPr>
          <w:rFonts w:ascii="Times New Roman" w:hAnsi="Times New Roman" w:cs="Times New Roman"/>
          <w:sz w:val="24"/>
          <w:szCs w:val="24"/>
        </w:rPr>
        <w:t xml:space="preserve"> in </w:t>
      </w:r>
      <w:r w:rsidR="002608A7">
        <w:rPr>
          <w:rFonts w:ascii="Times New Roman" w:hAnsi="Times New Roman" w:cs="Times New Roman"/>
          <w:sz w:val="24"/>
          <w:szCs w:val="24"/>
        </w:rPr>
        <w:t xml:space="preserve">the </w:t>
      </w:r>
      <w:r w:rsidR="00CE0538">
        <w:rPr>
          <w:rFonts w:ascii="Times New Roman" w:hAnsi="Times New Roman" w:cs="Times New Roman"/>
          <w:sz w:val="24"/>
          <w:szCs w:val="24"/>
        </w:rPr>
        <w:t>15-49 years age group</w:t>
      </w:r>
      <w:r w:rsidR="002F2219">
        <w:rPr>
          <w:rFonts w:ascii="Times New Roman" w:hAnsi="Times New Roman" w:cs="Times New Roman"/>
          <w:sz w:val="24"/>
          <w:szCs w:val="24"/>
        </w:rPr>
        <w:t xml:space="preserve"> in India </w:t>
      </w:r>
      <w:r w:rsidR="002F2219">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{"citationItems":[{"id":"ITEM-1","itemData":{"author":[{"dropping-particle":"","family":"International Institute for Population Studies","given":"","non-dropping-particle":"","parse-names":false,"suffix":""}],"id":"ITEM-1","issued":{"date-parts":[["2017"]]},"title":"NFHS-4 (National Family Health Survey-4) India Fact Sheet","type":"article-journal"},"uris":["http://www.mendeley.com/documents/?uuid=d001f0f0-7b65-4e65-ae24-ffd5c8e28aca"]}],"mendeley":{"formattedCitation":"(International Institute for Population Studies, 2017)","plainTextFormattedCitation":"(International Institute for Population Studies, 2017)","previouslyFormattedCitation":"(International Institute for Population Studies, 2017)"},"properties":{"noteIndex":0},"schema":"https://github.com/citation-style-language/schema/raw/master/csl-citation.json"}</w:instrText>
      </w:r>
      <w:r w:rsidR="002F2219">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(International Institute for Population Studies, 2017)</w:t>
      </w:r>
      <w:r w:rsidR="002F2219">
        <w:rPr>
          <w:rFonts w:ascii="Times New Roman" w:hAnsi="Times New Roman" w:cs="Times New Roman"/>
          <w:sz w:val="24"/>
          <w:szCs w:val="24"/>
        </w:rPr>
        <w:fldChar w:fldCharType="end"/>
      </w:r>
      <w:r w:rsidR="002F2219">
        <w:rPr>
          <w:rFonts w:ascii="Times New Roman" w:hAnsi="Times New Roman" w:cs="Times New Roman"/>
          <w:sz w:val="24"/>
          <w:szCs w:val="24"/>
        </w:rPr>
        <w:t>.</w:t>
      </w:r>
      <w:r w:rsidR="00E178A8">
        <w:rPr>
          <w:rFonts w:ascii="Times New Roman" w:hAnsi="Times New Roman" w:cs="Times New Roman"/>
          <w:sz w:val="24"/>
          <w:szCs w:val="24"/>
        </w:rPr>
        <w:t xml:space="preserve"> </w:t>
      </w:r>
      <w:r w:rsidR="004E5769">
        <w:rPr>
          <w:rFonts w:ascii="Times New Roman" w:hAnsi="Times New Roman" w:cs="Times New Roman"/>
          <w:sz w:val="24"/>
          <w:szCs w:val="24"/>
        </w:rPr>
        <w:t>T</w:t>
      </w:r>
      <w:r w:rsidR="00CE0538">
        <w:rPr>
          <w:rFonts w:ascii="Times New Roman" w:hAnsi="Times New Roman" w:cs="Times New Roman"/>
          <w:sz w:val="24"/>
          <w:szCs w:val="24"/>
        </w:rPr>
        <w:t>he rise in</w:t>
      </w:r>
      <w:r w:rsidR="00C21CA0">
        <w:rPr>
          <w:rFonts w:ascii="Times New Roman" w:hAnsi="Times New Roman" w:cs="Times New Roman"/>
          <w:sz w:val="24"/>
          <w:szCs w:val="24"/>
        </w:rPr>
        <w:t xml:space="preserve"> o</w:t>
      </w:r>
      <w:r w:rsidR="00E178A8">
        <w:rPr>
          <w:rFonts w:ascii="Times New Roman" w:hAnsi="Times New Roman" w:cs="Times New Roman"/>
          <w:sz w:val="24"/>
          <w:szCs w:val="24"/>
        </w:rPr>
        <w:t>verweight</w:t>
      </w:r>
      <w:r w:rsidR="002F2219">
        <w:rPr>
          <w:rFonts w:ascii="Times New Roman" w:hAnsi="Times New Roman" w:cs="Times New Roman"/>
          <w:sz w:val="24"/>
          <w:szCs w:val="24"/>
        </w:rPr>
        <w:t xml:space="preserve"> and obesity</w:t>
      </w:r>
      <w:r w:rsidR="007A2D7E">
        <w:rPr>
          <w:rFonts w:ascii="Times New Roman" w:hAnsi="Times New Roman" w:cs="Times New Roman"/>
          <w:sz w:val="24"/>
          <w:szCs w:val="24"/>
        </w:rPr>
        <w:t xml:space="preserve"> among women</w:t>
      </w:r>
      <w:r w:rsidR="002F2219">
        <w:rPr>
          <w:rFonts w:ascii="Times New Roman" w:hAnsi="Times New Roman" w:cs="Times New Roman"/>
          <w:sz w:val="24"/>
          <w:szCs w:val="24"/>
        </w:rPr>
        <w:t xml:space="preserve"> is no longer restricted to urban areas. Rural overweight/obesity has doubled from 7.5% in 2005-06 to 15% in 2015-16. Urban overweight/obesity has also increased from 23.6% in 2005-06 to an alarming 31% in 2015-16.</w:t>
      </w:r>
    </w:p>
    <w:p w14:paraId="75A7AB9B" w14:textId="25698E3E" w:rsidR="00180A1F" w:rsidRDefault="00F644D1"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2F2219">
        <w:rPr>
          <w:rFonts w:ascii="Times New Roman" w:hAnsi="Times New Roman" w:cs="Times New Roman"/>
          <w:sz w:val="24"/>
          <w:szCs w:val="24"/>
        </w:rPr>
        <w:t xml:space="preserve">ata from the National Family Health Survey </w:t>
      </w:r>
      <w:r w:rsidR="00206191">
        <w:rPr>
          <w:rFonts w:ascii="Times New Roman" w:hAnsi="Times New Roman" w:cs="Times New Roman"/>
          <w:sz w:val="24"/>
          <w:szCs w:val="24"/>
        </w:rPr>
        <w:t xml:space="preserve">conducted in </w:t>
      </w:r>
      <w:r w:rsidR="002F2219">
        <w:rPr>
          <w:rFonts w:ascii="Times New Roman" w:hAnsi="Times New Roman" w:cs="Times New Roman"/>
          <w:sz w:val="24"/>
          <w:szCs w:val="24"/>
        </w:rPr>
        <w:t>2015-16 (NFHS-4)</w:t>
      </w:r>
      <w:r>
        <w:rPr>
          <w:rFonts w:ascii="Times New Roman" w:hAnsi="Times New Roman" w:cs="Times New Roman"/>
          <w:sz w:val="24"/>
          <w:szCs w:val="24"/>
        </w:rPr>
        <w:t xml:space="preserve"> shows that </w:t>
      </w:r>
      <w:r w:rsidR="002F2219">
        <w:rPr>
          <w:rFonts w:ascii="Times New Roman" w:hAnsi="Times New Roman" w:cs="Times New Roman"/>
          <w:sz w:val="24"/>
          <w:szCs w:val="24"/>
        </w:rPr>
        <w:t xml:space="preserve">between 20 </w:t>
      </w:r>
      <w:r w:rsidR="0050081E">
        <w:rPr>
          <w:rFonts w:ascii="Times New Roman" w:hAnsi="Times New Roman" w:cs="Times New Roman"/>
          <w:sz w:val="24"/>
          <w:szCs w:val="24"/>
        </w:rPr>
        <w:t>to</w:t>
      </w:r>
      <w:r w:rsidR="002F2219">
        <w:rPr>
          <w:rFonts w:ascii="Times New Roman" w:hAnsi="Times New Roman" w:cs="Times New Roman"/>
          <w:sz w:val="24"/>
          <w:szCs w:val="24"/>
        </w:rPr>
        <w:t xml:space="preserve"> 40 percent of women are overweight/obese in nearly every district in urban India (Figure 1). Rural overweight/obesity is also consistently high</w:t>
      </w:r>
      <w:r w:rsidR="00E12462">
        <w:rPr>
          <w:rFonts w:ascii="Times New Roman" w:hAnsi="Times New Roman" w:cs="Times New Roman"/>
          <w:sz w:val="24"/>
          <w:szCs w:val="24"/>
        </w:rPr>
        <w:t xml:space="preserve"> across</w:t>
      </w:r>
      <w:r w:rsidR="005102FD">
        <w:rPr>
          <w:rFonts w:ascii="Times New Roman" w:hAnsi="Times New Roman" w:cs="Times New Roman"/>
          <w:sz w:val="24"/>
          <w:szCs w:val="24"/>
        </w:rPr>
        <w:t xml:space="preserve"> districts and</w:t>
      </w:r>
      <w:r w:rsidR="002F2219">
        <w:rPr>
          <w:rFonts w:ascii="Times New Roman" w:hAnsi="Times New Roman" w:cs="Times New Roman"/>
          <w:sz w:val="24"/>
          <w:szCs w:val="24"/>
        </w:rPr>
        <w:t xml:space="preserve"> is lower than 10 percent only in the </w:t>
      </w:r>
      <w:r w:rsidR="00CE0538">
        <w:rPr>
          <w:rFonts w:ascii="Times New Roman" w:hAnsi="Times New Roman" w:cs="Times New Roman"/>
          <w:sz w:val="24"/>
          <w:szCs w:val="24"/>
        </w:rPr>
        <w:t xml:space="preserve">poorest states in </w:t>
      </w:r>
      <w:r w:rsidR="002F2219">
        <w:rPr>
          <w:rFonts w:ascii="Times New Roman" w:hAnsi="Times New Roman" w:cs="Times New Roman"/>
          <w:sz w:val="24"/>
          <w:szCs w:val="24"/>
        </w:rPr>
        <w:t>Eastern</w:t>
      </w:r>
      <w:r w:rsidR="00CE0538">
        <w:rPr>
          <w:rFonts w:ascii="Times New Roman" w:hAnsi="Times New Roman" w:cs="Times New Roman"/>
          <w:sz w:val="24"/>
          <w:szCs w:val="24"/>
        </w:rPr>
        <w:t xml:space="preserve"> India. </w:t>
      </w:r>
      <w:r w:rsidR="002F2219">
        <w:rPr>
          <w:rFonts w:ascii="Times New Roman" w:hAnsi="Times New Roman" w:cs="Times New Roman"/>
          <w:sz w:val="24"/>
          <w:szCs w:val="24"/>
        </w:rPr>
        <w:t xml:space="preserve">(Figure 2). </w:t>
      </w:r>
    </w:p>
    <w:p w14:paraId="3C6F5A09" w14:textId="2A2F8058" w:rsidR="00B11C90" w:rsidRDefault="002F2219"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also a significant gender gap in the incidence of overweight/obesity in India</w:t>
      </w:r>
      <w:r w:rsidR="00B157C8">
        <w:rPr>
          <w:rFonts w:ascii="Times New Roman" w:hAnsi="Times New Roman" w:cs="Times New Roman"/>
          <w:sz w:val="24"/>
          <w:szCs w:val="24"/>
        </w:rPr>
        <w:t xml:space="preserve">. </w:t>
      </w:r>
      <w:r>
        <w:rPr>
          <w:rFonts w:ascii="Times New Roman" w:hAnsi="Times New Roman" w:cs="Times New Roman"/>
          <w:sz w:val="24"/>
          <w:szCs w:val="24"/>
        </w:rPr>
        <w:t xml:space="preserve"> </w:t>
      </w:r>
      <w:r w:rsidR="00B157C8">
        <w:rPr>
          <w:rFonts w:ascii="Times New Roman" w:hAnsi="Times New Roman" w:cs="Times New Roman"/>
          <w:sz w:val="24"/>
          <w:szCs w:val="24"/>
        </w:rPr>
        <w:t xml:space="preserve">More </w:t>
      </w:r>
      <w:r>
        <w:rPr>
          <w:rFonts w:ascii="Times New Roman" w:hAnsi="Times New Roman" w:cs="Times New Roman"/>
          <w:sz w:val="24"/>
          <w:szCs w:val="24"/>
        </w:rPr>
        <w:t xml:space="preserve">women </w:t>
      </w:r>
      <w:r w:rsidR="00B157C8">
        <w:rPr>
          <w:rFonts w:ascii="Times New Roman" w:hAnsi="Times New Roman" w:cs="Times New Roman"/>
          <w:sz w:val="24"/>
          <w:szCs w:val="24"/>
        </w:rPr>
        <w:t xml:space="preserve">are </w:t>
      </w:r>
      <w:r>
        <w:rPr>
          <w:rFonts w:ascii="Times New Roman" w:hAnsi="Times New Roman" w:cs="Times New Roman"/>
          <w:sz w:val="24"/>
          <w:szCs w:val="24"/>
        </w:rPr>
        <w:t>overweight/obese compared to men in both urban and rural areas (Figure A1 and A2 in the Appendix). In a</w:t>
      </w:r>
      <w:r w:rsidR="00B157C8">
        <w:rPr>
          <w:rFonts w:ascii="Times New Roman" w:hAnsi="Times New Roman" w:cs="Times New Roman"/>
          <w:sz w:val="24"/>
          <w:szCs w:val="24"/>
        </w:rPr>
        <w:t>n earlier</w:t>
      </w:r>
      <w:r>
        <w:rPr>
          <w:rFonts w:ascii="Times New Roman" w:hAnsi="Times New Roman" w:cs="Times New Roman"/>
          <w:sz w:val="24"/>
          <w:szCs w:val="24"/>
        </w:rPr>
        <w:t xml:space="preserve"> paper on obesity in India, we </w:t>
      </w:r>
      <w:r w:rsidR="00E12462">
        <w:rPr>
          <w:rFonts w:ascii="Times New Roman" w:hAnsi="Times New Roman" w:cs="Times New Roman"/>
          <w:sz w:val="24"/>
          <w:szCs w:val="24"/>
        </w:rPr>
        <w:t>showed</w:t>
      </w:r>
      <w:r>
        <w:rPr>
          <w:rFonts w:ascii="Times New Roman" w:hAnsi="Times New Roman" w:cs="Times New Roman"/>
          <w:sz w:val="24"/>
          <w:szCs w:val="24"/>
        </w:rPr>
        <w:t xml:space="preserve"> that th</w:t>
      </w:r>
      <w:r w:rsidR="00E12462">
        <w:rPr>
          <w:rFonts w:ascii="Times New Roman" w:hAnsi="Times New Roman" w:cs="Times New Roman"/>
          <w:sz w:val="24"/>
          <w:szCs w:val="24"/>
        </w:rPr>
        <w:t>is</w:t>
      </w:r>
      <w:r>
        <w:rPr>
          <w:rFonts w:ascii="Times New Roman" w:hAnsi="Times New Roman" w:cs="Times New Roman"/>
          <w:sz w:val="24"/>
          <w:szCs w:val="24"/>
        </w:rPr>
        <w:t xml:space="preserve"> gender gap </w:t>
      </w:r>
      <w:r w:rsidR="00090DA8">
        <w:rPr>
          <w:rFonts w:ascii="Times New Roman" w:hAnsi="Times New Roman" w:cs="Times New Roman"/>
          <w:sz w:val="24"/>
          <w:szCs w:val="24"/>
        </w:rPr>
        <w:t>persists</w:t>
      </w:r>
      <w:r>
        <w:rPr>
          <w:rFonts w:ascii="Times New Roman" w:hAnsi="Times New Roman" w:cs="Times New Roman"/>
          <w:sz w:val="24"/>
          <w:szCs w:val="24"/>
        </w:rPr>
        <w:t xml:space="preserve"> even </w:t>
      </w:r>
      <w:r w:rsidR="00467D97">
        <w:rPr>
          <w:rFonts w:ascii="Times New Roman" w:hAnsi="Times New Roman" w:cs="Times New Roman"/>
          <w:sz w:val="24"/>
          <w:szCs w:val="24"/>
        </w:rPr>
        <w:t xml:space="preserve">when we compare women and men </w:t>
      </w:r>
      <w:r>
        <w:rPr>
          <w:rFonts w:ascii="Times New Roman" w:hAnsi="Times New Roman" w:cs="Times New Roman"/>
          <w:sz w:val="24"/>
          <w:szCs w:val="24"/>
        </w:rPr>
        <w:t xml:space="preserve">within households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Joshi","given":"Kuhu","non-dropping-particle":"","parse-names":false,"suffix":""},{"dropping-particle":"","family":"Roy","given":"Devesh","non-dropping-particle":"","parse-names":false,"suffix":""},{"dropping-particle":"","family":"Iannotti","given":"Lora","non-dropping-particle":"","parse-names":false,"suffix":""},{"dropping-particle":"","family":"Nagar","given":"Aishwarya","non-dropping-particle":"","parse-names":false,"suffix":""},{"dropping-particle":"","family":"Kishore","given":"Avinash","non-dropping-particle":"","parse-names":false,"suffix":""}],"id":"ITEM-1","issued":{"date-parts":[["2019"]]},"title":"The effects of changing lifestyle and dietary patterns on obesity and non-communicable diseases in India","type":"report"},"uris":["http://www.mendeley.com/documents/?uuid=67b65773-b4eb-4eab-8d67-672122fe12a2"]}],"mendeley":{"formattedCitation":"(Joshi, Roy, Iannotti, Nagar, &amp; Kishore, 2019)","plainTextFormattedCitation":"(Joshi, Roy, Iannotti, Nagar, &amp; Kishore, 2019)","previouslyFormattedCitation":"(Joshi, Roy, Iannotti, Nagar, &amp; Kishore, 2019)"},"properties":{"noteIndex":0},"schema":"https://github.com/citation-style-language/schema/raw/master/csl-citation.json"}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(Joshi, Roy, Iannotti, Nagar, &amp; Kishore,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31D96">
        <w:rPr>
          <w:rFonts w:ascii="Times New Roman" w:hAnsi="Times New Roman" w:cs="Times New Roman"/>
          <w:sz w:val="24"/>
          <w:szCs w:val="24"/>
        </w:rPr>
        <w:t>The probability of being overweight/obese</w:t>
      </w:r>
      <w:r w:rsidR="005B7395">
        <w:rPr>
          <w:rFonts w:ascii="Times New Roman" w:hAnsi="Times New Roman" w:cs="Times New Roman"/>
          <w:sz w:val="24"/>
          <w:szCs w:val="24"/>
        </w:rPr>
        <w:t xml:space="preserve"> also</w:t>
      </w:r>
      <w:r w:rsidR="00A31D96">
        <w:rPr>
          <w:rFonts w:ascii="Times New Roman" w:hAnsi="Times New Roman" w:cs="Times New Roman"/>
          <w:sz w:val="24"/>
          <w:szCs w:val="24"/>
        </w:rPr>
        <w:t xml:space="preserve"> increases with age and rises more rapidly with age for </w:t>
      </w:r>
      <w:r w:rsidR="002E3906">
        <w:rPr>
          <w:rFonts w:ascii="Times New Roman" w:hAnsi="Times New Roman" w:cs="Times New Roman"/>
          <w:sz w:val="24"/>
          <w:szCs w:val="24"/>
        </w:rPr>
        <w:t xml:space="preserve">women in urban areas </w:t>
      </w:r>
      <w:r w:rsidR="00A31D96">
        <w:rPr>
          <w:rFonts w:ascii="Times New Roman" w:hAnsi="Times New Roman" w:cs="Times New Roman"/>
          <w:sz w:val="24"/>
          <w:szCs w:val="24"/>
        </w:rPr>
        <w:t>compared to rura</w:t>
      </w:r>
      <w:r w:rsidR="00961FF4">
        <w:rPr>
          <w:rFonts w:ascii="Times New Roman" w:hAnsi="Times New Roman" w:cs="Times New Roman"/>
          <w:sz w:val="24"/>
          <w:szCs w:val="24"/>
        </w:rPr>
        <w:t>l areas</w:t>
      </w:r>
      <w:r w:rsidR="00A31D96">
        <w:rPr>
          <w:rFonts w:ascii="Times New Roman" w:hAnsi="Times New Roman" w:cs="Times New Roman"/>
          <w:sz w:val="24"/>
          <w:szCs w:val="24"/>
        </w:rPr>
        <w:t xml:space="preserve"> (Figure 3). </w:t>
      </w:r>
    </w:p>
    <w:p w14:paraId="16DDE782" w14:textId="77777777" w:rsidR="009C3558" w:rsidRDefault="002F2219"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Clearly, a higher BMI is no longer </w:t>
      </w:r>
      <w:r w:rsidR="00467D97">
        <w:rPr>
          <w:rFonts w:ascii="Times New Roman" w:hAnsi="Times New Roman" w:cs="Times New Roman"/>
          <w:sz w:val="24"/>
          <w:szCs w:val="24"/>
        </w:rPr>
        <w:t xml:space="preserve">a </w:t>
      </w:r>
      <w:r>
        <w:rPr>
          <w:rFonts w:ascii="Times New Roman" w:hAnsi="Times New Roman" w:cs="Times New Roman"/>
          <w:sz w:val="24"/>
          <w:szCs w:val="24"/>
        </w:rPr>
        <w:t>desirable</w:t>
      </w:r>
      <w:r w:rsidR="00467D97">
        <w:rPr>
          <w:rFonts w:ascii="Times New Roman" w:hAnsi="Times New Roman" w:cs="Times New Roman"/>
          <w:sz w:val="24"/>
          <w:szCs w:val="24"/>
        </w:rPr>
        <w:t xml:space="preserve"> outcome</w:t>
      </w:r>
      <w:r>
        <w:rPr>
          <w:rFonts w:ascii="Times New Roman" w:hAnsi="Times New Roman" w:cs="Times New Roman"/>
          <w:sz w:val="24"/>
          <w:szCs w:val="24"/>
        </w:rPr>
        <w:t xml:space="preserve"> for a large</w:t>
      </w:r>
      <w:r w:rsidR="00467D97">
        <w:rPr>
          <w:rFonts w:ascii="Times New Roman" w:hAnsi="Times New Roman" w:cs="Times New Roman"/>
          <w:sz w:val="24"/>
          <w:szCs w:val="24"/>
        </w:rPr>
        <w:t xml:space="preserve"> and growing</w:t>
      </w:r>
      <w:r>
        <w:rPr>
          <w:rFonts w:ascii="Times New Roman" w:hAnsi="Times New Roman" w:cs="Times New Roman"/>
          <w:sz w:val="24"/>
          <w:szCs w:val="24"/>
        </w:rPr>
        <w:t xml:space="preserve"> proportion of women in India.</w:t>
      </w:r>
      <w:r w:rsidR="00B11C90">
        <w:rPr>
          <w:rFonts w:ascii="Times New Roman" w:hAnsi="Times New Roman" w:cs="Times New Roman"/>
          <w:sz w:val="24"/>
          <w:szCs w:val="24"/>
        </w:rPr>
        <w:t xml:space="preserve"> </w:t>
      </w:r>
      <w:r w:rsidR="006243C9">
        <w:rPr>
          <w:rFonts w:ascii="Times New Roman" w:hAnsi="Times New Roman" w:cs="Times New Roman"/>
          <w:sz w:val="24"/>
          <w:szCs w:val="24"/>
        </w:rPr>
        <w:t>In the background of rising overweight and obesity, w</w:t>
      </w:r>
      <w:r w:rsidR="009C3558">
        <w:rPr>
          <w:rFonts w:ascii="Times New Roman" w:hAnsi="Times New Roman" w:cs="Times New Roman"/>
          <w:sz w:val="24"/>
          <w:szCs w:val="24"/>
        </w:rPr>
        <w:t xml:space="preserve">e </w:t>
      </w:r>
      <w:r w:rsidR="00C23DED">
        <w:rPr>
          <w:rFonts w:ascii="Times New Roman" w:hAnsi="Times New Roman" w:cs="Times New Roman"/>
          <w:sz w:val="24"/>
          <w:szCs w:val="24"/>
        </w:rPr>
        <w:t>re-</w:t>
      </w:r>
      <w:r w:rsidR="006243C9">
        <w:rPr>
          <w:rFonts w:ascii="Times New Roman" w:hAnsi="Times New Roman" w:cs="Times New Roman"/>
          <w:sz w:val="24"/>
          <w:szCs w:val="24"/>
        </w:rPr>
        <w:t>examine</w:t>
      </w:r>
      <w:r w:rsidR="009C3558">
        <w:rPr>
          <w:rFonts w:ascii="Times New Roman" w:hAnsi="Times New Roman" w:cs="Times New Roman"/>
          <w:sz w:val="24"/>
          <w:szCs w:val="24"/>
        </w:rPr>
        <w:t xml:space="preserve"> the impact </w:t>
      </w:r>
      <w:r w:rsidR="009C3558">
        <w:rPr>
          <w:rFonts w:ascii="Times New Roman" w:hAnsi="Times New Roman" w:cs="Times New Roman"/>
          <w:sz w:val="24"/>
          <w:szCs w:val="24"/>
        </w:rPr>
        <w:lastRenderedPageBreak/>
        <w:t>of intrahousehold status on women’s BM</w:t>
      </w:r>
      <w:r w:rsidR="009A28A1">
        <w:rPr>
          <w:rFonts w:ascii="Times New Roman" w:hAnsi="Times New Roman" w:cs="Times New Roman"/>
          <w:sz w:val="24"/>
          <w:szCs w:val="24"/>
        </w:rPr>
        <w:t>I</w:t>
      </w:r>
      <w:r w:rsidR="009C3558">
        <w:rPr>
          <w:rFonts w:ascii="Times New Roman" w:hAnsi="Times New Roman" w:cs="Times New Roman"/>
          <w:sz w:val="24"/>
          <w:szCs w:val="24"/>
        </w:rPr>
        <w:t>, using the latest nationally representative data</w:t>
      </w:r>
      <w:r w:rsidR="009A28A1">
        <w:rPr>
          <w:rFonts w:ascii="Times New Roman" w:hAnsi="Times New Roman" w:cs="Times New Roman"/>
          <w:sz w:val="24"/>
          <w:szCs w:val="24"/>
        </w:rPr>
        <w:t>sets</w:t>
      </w:r>
      <w:r w:rsidR="009C3558">
        <w:rPr>
          <w:rFonts w:ascii="Times New Roman" w:hAnsi="Times New Roman" w:cs="Times New Roman"/>
          <w:sz w:val="24"/>
          <w:szCs w:val="24"/>
        </w:rPr>
        <w:t xml:space="preserve"> on health and nutrition in India – the National Family Health Survey conducted in 2015-16 and the National Sample Survey conducted in 2011-12.</w:t>
      </w:r>
    </w:p>
    <w:p w14:paraId="5A0730B4" w14:textId="7E7B41A1"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A higher BMI may be desirable for under</w:t>
      </w:r>
      <w:r w:rsidR="009A28A1">
        <w:rPr>
          <w:rFonts w:ascii="Times New Roman" w:hAnsi="Times New Roman" w:cs="Times New Roman"/>
          <w:sz w:val="24"/>
          <w:szCs w:val="24"/>
        </w:rPr>
        <w:t>weight</w:t>
      </w:r>
      <w:r>
        <w:rPr>
          <w:rFonts w:ascii="Times New Roman" w:hAnsi="Times New Roman" w:cs="Times New Roman"/>
          <w:sz w:val="24"/>
          <w:szCs w:val="24"/>
        </w:rPr>
        <w:t xml:space="preserve"> women whose BMI is below 18 kg/m</w:t>
      </w:r>
      <w:r>
        <w:rPr>
          <w:rFonts w:ascii="Times New Roman" w:hAnsi="Times New Roman" w:cs="Times New Roman"/>
          <w:sz w:val="24"/>
          <w:szCs w:val="24"/>
          <w:vertAlign w:val="superscript"/>
        </w:rPr>
        <w:t>2</w:t>
      </w:r>
      <w:r>
        <w:rPr>
          <w:rFonts w:ascii="Times New Roman" w:hAnsi="Times New Roman" w:cs="Times New Roman"/>
          <w:sz w:val="24"/>
          <w:szCs w:val="24"/>
        </w:rPr>
        <w:t>.  But for women whose BMI is on the margins</w:t>
      </w:r>
      <w:r w:rsidR="002271C6">
        <w:rPr>
          <w:rFonts w:ascii="Times New Roman" w:hAnsi="Times New Roman" w:cs="Times New Roman"/>
          <w:sz w:val="24"/>
          <w:szCs w:val="24"/>
        </w:rPr>
        <w:t xml:space="preserve"> (i.e., above 22 kg/m</w:t>
      </w:r>
      <w:r w:rsidR="002271C6">
        <w:rPr>
          <w:rFonts w:ascii="Times New Roman" w:hAnsi="Times New Roman" w:cs="Times New Roman"/>
          <w:sz w:val="24"/>
          <w:szCs w:val="24"/>
          <w:vertAlign w:val="superscript"/>
        </w:rPr>
        <w:t>2</w:t>
      </w:r>
      <w:r w:rsidR="002271C6">
        <w:rPr>
          <w:rFonts w:ascii="Times New Roman" w:hAnsi="Times New Roman" w:cs="Times New Roman"/>
          <w:sz w:val="24"/>
          <w:szCs w:val="24"/>
        </w:rPr>
        <w:t xml:space="preserve">), </w:t>
      </w:r>
      <w:r>
        <w:rPr>
          <w:rFonts w:ascii="Times New Roman" w:hAnsi="Times New Roman" w:cs="Times New Roman"/>
          <w:sz w:val="24"/>
          <w:szCs w:val="24"/>
        </w:rPr>
        <w:t xml:space="preserve">increasing BMI will lead to a greater risk of overweight/obesity and associated non-communicable diseases like diabetes and hypertension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{"citationItems":[{"id":"ITEM-1","itemData":{"author":[{"dropping-particle":"","family":"Solomon","given":"C G","non-dropping-particle":"","parse-names":false,"suffix":""},{"dropping-particle":"","family":"Manson","given":"J E","non-dropping-particle":"","parse-names":false,"suffix":""}],"container-title":"The American Journal of Clinical Nutrition","id":"ITEM-1","issue":"4","issued":{"date-parts":[["1997","10","1"]]},"page":"1044S-1050S","title":"Obesity and mortality: a review of the epidemiologic data","type":"article-journal","volume":"66"},"uris":["http://www.mendeley.com/documents/?uuid=5c1e5d34-7ea3-322a-8236-ebe9a17adf24"]},{"id":"ITEM-2","itemData":{"DOI":"10.1038/sj.ejcn.1600931","ISBN":"0954-3007 (Print)","ISSN":"09543007","PMID":"10713748","abstract":"Objectives: The key objective was to estimate obesity (! 30 kgam 2) in women 15±49 y from developing countries. A second objective was to study how obesity varies by educational level and by residence in urban and rural areas. A third objective was to investigate how national incomes shape the relationship between obesity and eduction or residence. Design: The analyses use cross-sectional data from nationally representative surveys from developing countries carried out in the last decade. Most of the surveys were Demographic Health Surveys (DHS). Data from a survey from the USA are used for comparison. Setting:The 39 surveys used come from 38 developing countries and the USA. Subjects: A total of 147,938 non-pregnant women 15±49 y were included in the analyses. Results: The percentage of obese women was 0.1% in South Asia, 2.5% in Sub-Saharan Africa, 9.6% in Latin America and the Caribbean, 15.4% in Central Eastern EuropeaCommonwealth of Independent States (CEEaCIS), 17.2% in the Middle East and North Africa, and 20.7% in the USA. Levels of obesity in countries increased sharply until a gross national product of US$1500 per capita (1992 values) was reached and changed little thereafter. In very poor countries, such as in Sub-Saharan Africa, obesity levels were greatly concentrated among urban and higher educated women. In more developed countries, such as those in Latin America and the CEEaCIS regions, obesity levels were more equally distributed in the general population. Conclusions: Based on the analyses presented and on a review of the literature, it is concluded that obesity among women is a serious problem in Latin America and the Caribbean, the Middle East and North Africa, and the CEEaCIS region. Obesity is less of a concern in Sub-Saharan Africa, China and South Asia. Obesity levels increased over time in most of the limited number of countries with data, but at varying rates. Rising national incomes in developing countries and increaseWesternization' will most likely lead to increased levels of obesity in the future.","author":[{"dropping-particle":"","family":"Martorell","given":"R","non-dropping-particle":"","parse-names":false,"suffix":""},{"dropping-particle":"","family":"Khan","given":"L Kettel","non-dropping-particle":"","parse-names":false,"suffix":""},{"dropping-particle":"","family":"Hughes","given":"Ml","non-dropping-particle":"","parse-names":false,"suffix":""},{"dropping-particle":"","family":"Grummer-Strawn","given":"Lm","non-dropping-particle":"","parse-names":false,"suffix":""}],"container-title":"European Journal of Clinical Nutrition","id":"ITEM-2","issued":{"date-parts":[["2000"]]},"page":"247-252","title":"Obesity in women from developing countries","type":"article-journal","volume":"54"},"uris":["http://www.mendeley.com/documents/?uuid=f152a05e-4862-41b1-ab41-1d0f1f8c012a"]}],"mendeley":{"formattedCitation":"(Martorell, Khan, Hughes, &amp; Grummer-Strawn, 2000; Solomon &amp; Manson, 1997)","plainTextFormattedCitation":"(Martorell, Khan, Hughes, &amp; Grummer-Strawn, 2000; Solomon &amp; Manson, 1997)","previouslyFormattedCitation":"(Martorell, Khan, Hughes, &amp; Grummer-Strawn, 2000; Solomon &amp; Manson, 1997)"},"properties":{"noteIndex":0},"schema":"https://github.com/citation-style-language/schema/raw/master/csl-citation.json"}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(Martorell, Khan, Hughes, &amp; Grummer-Strawn, 2000; Solomon &amp; Manson, 1997)</w:t>
      </w:r>
      <w:r>
        <w:rPr>
          <w:rFonts w:ascii="Times New Roman" w:hAnsi="Times New Roman" w:cs="Times New Roman"/>
          <w:sz w:val="24"/>
          <w:szCs w:val="24"/>
        </w:rPr>
        <w:fldChar w:fldCharType="end"/>
      </w:r>
      <w:r>
        <w:rPr>
          <w:rFonts w:ascii="Times New Roman" w:hAnsi="Times New Roman" w:cs="Times New Roman"/>
          <w:sz w:val="24"/>
          <w:szCs w:val="24"/>
        </w:rPr>
        <w:t xml:space="preserve">. The implications of the impact of status on BMI will therefore vary according to a woman’s current BMI level. </w:t>
      </w:r>
      <w:r w:rsidR="002D6300">
        <w:rPr>
          <w:rFonts w:ascii="Times New Roman" w:hAnsi="Times New Roman" w:cs="Times New Roman"/>
          <w:sz w:val="24"/>
          <w:szCs w:val="24"/>
        </w:rPr>
        <w:t xml:space="preserve">We use quantile regression to study the relationship between intrahousehold status and BMI at different quantiles of BMI. </w:t>
      </w:r>
      <w:r>
        <w:rPr>
          <w:rFonts w:ascii="Times New Roman" w:hAnsi="Times New Roman" w:cs="Times New Roman"/>
          <w:sz w:val="24"/>
          <w:szCs w:val="24"/>
        </w:rPr>
        <w:t xml:space="preserve">Unlike ordinary least squares, </w:t>
      </w:r>
      <w:r w:rsidR="0043573A">
        <w:rPr>
          <w:rFonts w:ascii="Times New Roman" w:hAnsi="Times New Roman" w:cs="Times New Roman"/>
          <w:sz w:val="24"/>
          <w:szCs w:val="24"/>
        </w:rPr>
        <w:t>which</w:t>
      </w:r>
      <w:r w:rsidR="00FE28C2">
        <w:rPr>
          <w:rFonts w:ascii="Times New Roman" w:hAnsi="Times New Roman" w:cs="Times New Roman"/>
          <w:sz w:val="24"/>
          <w:szCs w:val="24"/>
        </w:rPr>
        <w:t xml:space="preserve"> </w:t>
      </w:r>
      <w:r w:rsidR="00E3633E">
        <w:rPr>
          <w:rFonts w:ascii="Times New Roman" w:hAnsi="Times New Roman" w:cs="Times New Roman"/>
          <w:sz w:val="24"/>
          <w:szCs w:val="24"/>
        </w:rPr>
        <w:t xml:space="preserve">gives </w:t>
      </w:r>
      <w:r w:rsidR="00691347">
        <w:rPr>
          <w:rFonts w:ascii="Times New Roman" w:hAnsi="Times New Roman" w:cs="Times New Roman"/>
          <w:sz w:val="24"/>
          <w:szCs w:val="24"/>
        </w:rPr>
        <w:t xml:space="preserve">the </w:t>
      </w:r>
      <w:r w:rsidR="0043573A">
        <w:rPr>
          <w:rFonts w:ascii="Times New Roman" w:hAnsi="Times New Roman" w:cs="Times New Roman"/>
          <w:sz w:val="24"/>
          <w:szCs w:val="24"/>
        </w:rPr>
        <w:t>average</w:t>
      </w:r>
      <w:r w:rsidR="00691347">
        <w:rPr>
          <w:rFonts w:ascii="Times New Roman" w:hAnsi="Times New Roman" w:cs="Times New Roman"/>
          <w:sz w:val="24"/>
          <w:szCs w:val="24"/>
        </w:rPr>
        <w:t xml:space="preserve"> effect</w:t>
      </w:r>
      <w:r w:rsidR="0043573A">
        <w:rPr>
          <w:rFonts w:ascii="Times New Roman" w:hAnsi="Times New Roman" w:cs="Times New Roman"/>
          <w:sz w:val="24"/>
          <w:szCs w:val="24"/>
        </w:rPr>
        <w:t xml:space="preserve">, </w:t>
      </w:r>
      <w:r>
        <w:rPr>
          <w:rFonts w:ascii="Times New Roman" w:hAnsi="Times New Roman" w:cs="Times New Roman"/>
          <w:sz w:val="24"/>
          <w:szCs w:val="24"/>
        </w:rPr>
        <w:t xml:space="preserve">quantile regression allows us to </w:t>
      </w:r>
      <w:r w:rsidR="00C15AFE">
        <w:rPr>
          <w:rFonts w:ascii="Times New Roman" w:hAnsi="Times New Roman" w:cs="Times New Roman"/>
          <w:sz w:val="24"/>
          <w:szCs w:val="24"/>
        </w:rPr>
        <w:t xml:space="preserve">assess the impact of woman’s status on BMI over the entire distribution of BMI values. </w:t>
      </w:r>
    </w:p>
    <w:p w14:paraId="60E4585C" w14:textId="46119FCD" w:rsidR="002377D5" w:rsidRDefault="00970BE3" w:rsidP="00A04707">
      <w:pPr>
        <w:spacing w:line="360" w:lineRule="auto"/>
        <w:jc w:val="both"/>
        <w:rPr>
          <w:rFonts w:ascii="Times New Roman" w:hAnsi="Times New Roman" w:cs="Times New Roman"/>
          <w:sz w:val="24"/>
          <w:szCs w:val="24"/>
        </w:rPr>
      </w:pPr>
      <w:r w:rsidRPr="00A04707">
        <w:rPr>
          <w:rFonts w:ascii="Times New Roman" w:hAnsi="Times New Roman" w:cs="Times New Roman"/>
          <w:sz w:val="24"/>
          <w:szCs w:val="24"/>
        </w:rPr>
        <w:t>M</w:t>
      </w:r>
      <w:r w:rsidR="007C6A05" w:rsidRPr="00A04707">
        <w:rPr>
          <w:rFonts w:ascii="Times New Roman" w:hAnsi="Times New Roman" w:cs="Times New Roman"/>
          <w:sz w:val="24"/>
          <w:szCs w:val="24"/>
        </w:rPr>
        <w:t xml:space="preserve">easuring </w:t>
      </w:r>
      <w:r w:rsidR="002377D5" w:rsidRPr="00A04707">
        <w:rPr>
          <w:rFonts w:ascii="Times New Roman" w:hAnsi="Times New Roman" w:cs="Times New Roman"/>
          <w:sz w:val="24"/>
          <w:szCs w:val="24"/>
        </w:rPr>
        <w:t>intrahousehold status</w:t>
      </w:r>
      <w:r w:rsidR="007C6A05" w:rsidRPr="00A04707">
        <w:rPr>
          <w:rFonts w:ascii="Times New Roman" w:hAnsi="Times New Roman" w:cs="Times New Roman"/>
          <w:sz w:val="24"/>
          <w:szCs w:val="24"/>
        </w:rPr>
        <w:t xml:space="preserve"> is not </w:t>
      </w:r>
      <w:r w:rsidRPr="00A04707">
        <w:rPr>
          <w:rFonts w:ascii="Times New Roman" w:hAnsi="Times New Roman" w:cs="Times New Roman"/>
          <w:sz w:val="24"/>
          <w:szCs w:val="24"/>
        </w:rPr>
        <w:t xml:space="preserve">quantitatively </w:t>
      </w:r>
      <w:r w:rsidR="007C6A05" w:rsidRPr="00A04707">
        <w:rPr>
          <w:rFonts w:ascii="Times New Roman" w:hAnsi="Times New Roman" w:cs="Times New Roman"/>
          <w:sz w:val="24"/>
          <w:szCs w:val="24"/>
        </w:rPr>
        <w:t>straightforward</w:t>
      </w:r>
      <w:r w:rsidR="002377D5" w:rsidRPr="00A04707">
        <w:rPr>
          <w:rFonts w:ascii="Times New Roman" w:hAnsi="Times New Roman" w:cs="Times New Roman"/>
          <w:sz w:val="24"/>
          <w:szCs w:val="24"/>
        </w:rPr>
        <w:t>.</w:t>
      </w:r>
      <w:r w:rsidR="0027504C">
        <w:rPr>
          <w:rFonts w:ascii="Times New Roman" w:hAnsi="Times New Roman" w:cs="Times New Roman"/>
          <w:sz w:val="24"/>
          <w:szCs w:val="24"/>
        </w:rPr>
        <w:t xml:space="preserve"> Previous studies have used survey-reported indicators of women’s ‘say’ in household decisions, or their perceptions towards domestic violence, but such measures suffer from considerable bias and misreporting </w:t>
      </w:r>
      <w:r w:rsidR="0027504C">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{"citationItems":[{"id":"ITEM-1","itemData":{"abstract":"We study the intergenerational effect of a woman's social status on the health of her children. We overcome limits to causal identification in existing literature by exploiting an institutional feature of joint households in rural India: women married to the younger brother are assigned lower social rank than women married to the older brother. Studying differences among cousins within households, we find that children of lower-ranking mothers are shorter than children of higher-ranking mothers. We further argue that this effect is in part due to differences in maternal nutrition: as evidence of this mechanism, we document effects of being a lower-ranking mother on post-partum BMI and birth weight in newly collected data, and on neonatal mortality in national data. Because the relatives who arrange the marriages that we study do not take the groom's age rank among brothers into consideration, more disadvantaged mothers are not more likely to be married to younger brothers. We show that women whose marriages assign them lower social rank are not disadvantaged in health, height, or human capital before marriage and that the difference in social status that we exploit emerges after marriage. We verify that our results are not due to pre-marriage differences between fathers or mothers; are not caused by endogenous household dissolution; and are only present among children of higher-and lower-ranking mothers living together in a joint household, but not among the children of brothers living in separate households.","author":[{"dropping-particle":"","family":"Coffey","given":"Diane","non-dropping-particle":"","parse-names":false,"suffix":""},{"dropping-particle":"","family":"Khera","given":"Reetika","non-dropping-particle":"","parse-names":false,"suffix":""},{"dropping-particle":"","family":"Spears","given":"Dean","non-dropping-particle":"","parse-names":false,"suffix":""}],"id":"ITEM-1","issued":{"date-parts":[["2015"]]},"title":"Intergenerational effects of women's status: Evidence from joint Indian households","type":"report"},"uris":["http://www.mendeley.com/documents/?uuid=578a3679-3bd8-3e84-8c90-6627c2c7ebcd"]}],"mendeley":{"formattedCitation":"(Coffey et al., 2015)","plainTextFormattedCitation":"(Coffey et al., 2015)","previouslyFormattedCitation":"(Coffey et al., 2015)"},"properties":{"noteIndex":0},"schema":"https://github.com/citation-style-language/schema/raw/master/csl-citation.json"}</w:instrText>
      </w:r>
      <w:r w:rsidR="0027504C">
        <w:rPr>
          <w:rFonts w:ascii="Times New Roman" w:hAnsi="Times New Roman" w:cs="Times New Roman"/>
          <w:sz w:val="24"/>
          <w:szCs w:val="24"/>
        </w:rPr>
        <w:fldChar w:fldCharType="separate"/>
      </w:r>
      <w:r w:rsidR="0027504C" w:rsidRPr="005B2BDC">
        <w:rPr>
          <w:rFonts w:ascii="Times New Roman" w:hAnsi="Times New Roman" w:cs="Times New Roman"/>
          <w:noProof/>
          <w:sz w:val="24"/>
          <w:szCs w:val="24"/>
        </w:rPr>
        <w:t>(Coffey et al., 2015)</w:t>
      </w:r>
      <w:r w:rsidR="0027504C">
        <w:rPr>
          <w:rFonts w:ascii="Times New Roman" w:hAnsi="Times New Roman" w:cs="Times New Roman"/>
          <w:sz w:val="24"/>
          <w:szCs w:val="24"/>
        </w:rPr>
        <w:fldChar w:fldCharType="end"/>
      </w:r>
      <w:r w:rsidR="0027504C">
        <w:rPr>
          <w:rFonts w:ascii="Times New Roman" w:hAnsi="Times New Roman" w:cs="Times New Roman"/>
          <w:sz w:val="24"/>
          <w:szCs w:val="24"/>
        </w:rPr>
        <w:t xml:space="preserve">. </w:t>
      </w:r>
      <w:r w:rsidR="00310B3C">
        <w:rPr>
          <w:rFonts w:ascii="Times New Roman" w:hAnsi="Times New Roman" w:cs="Times New Roman"/>
          <w:sz w:val="24"/>
          <w:szCs w:val="24"/>
        </w:rPr>
        <w:t>For the ‘say’ indicators, t</w:t>
      </w:r>
      <w:r w:rsidR="0027504C">
        <w:rPr>
          <w:rFonts w:ascii="Times New Roman" w:hAnsi="Times New Roman" w:cs="Times New Roman"/>
          <w:sz w:val="24"/>
          <w:szCs w:val="24"/>
        </w:rPr>
        <w:t>here i</w:t>
      </w:r>
      <w:r w:rsidR="00B17F50">
        <w:rPr>
          <w:rFonts w:ascii="Times New Roman" w:hAnsi="Times New Roman" w:cs="Times New Roman"/>
          <w:sz w:val="24"/>
          <w:szCs w:val="24"/>
        </w:rPr>
        <w:t>s</w:t>
      </w:r>
      <w:r w:rsidR="0027504C">
        <w:rPr>
          <w:rFonts w:ascii="Times New Roman" w:hAnsi="Times New Roman" w:cs="Times New Roman"/>
          <w:sz w:val="24"/>
          <w:szCs w:val="24"/>
        </w:rPr>
        <w:t xml:space="preserve"> no consensus on how a jointly made household decision </w:t>
      </w:r>
      <w:r w:rsidR="00DA32DE">
        <w:rPr>
          <w:rFonts w:ascii="Times New Roman" w:hAnsi="Times New Roman" w:cs="Times New Roman"/>
          <w:sz w:val="24"/>
          <w:szCs w:val="24"/>
        </w:rPr>
        <w:t>(i.e.</w:t>
      </w:r>
      <w:r w:rsidR="00C22B5E">
        <w:rPr>
          <w:rFonts w:ascii="Times New Roman" w:hAnsi="Times New Roman" w:cs="Times New Roman"/>
          <w:sz w:val="24"/>
          <w:szCs w:val="24"/>
        </w:rPr>
        <w:t>,</w:t>
      </w:r>
      <w:r w:rsidR="00DA32DE">
        <w:rPr>
          <w:rFonts w:ascii="Times New Roman" w:hAnsi="Times New Roman" w:cs="Times New Roman"/>
          <w:sz w:val="24"/>
          <w:szCs w:val="24"/>
        </w:rPr>
        <w:t xml:space="preserve"> </w:t>
      </w:r>
      <w:r w:rsidR="00310B3C">
        <w:rPr>
          <w:rFonts w:ascii="Times New Roman" w:hAnsi="Times New Roman" w:cs="Times New Roman"/>
          <w:sz w:val="24"/>
          <w:szCs w:val="24"/>
        </w:rPr>
        <w:t>a decision</w:t>
      </w:r>
      <w:r w:rsidR="00DA32DE">
        <w:rPr>
          <w:rFonts w:ascii="Times New Roman" w:hAnsi="Times New Roman" w:cs="Times New Roman"/>
          <w:sz w:val="24"/>
          <w:szCs w:val="24"/>
        </w:rPr>
        <w:t xml:space="preserve"> made</w:t>
      </w:r>
      <w:r w:rsidR="00310B3C">
        <w:rPr>
          <w:rFonts w:ascii="Times New Roman" w:hAnsi="Times New Roman" w:cs="Times New Roman"/>
          <w:sz w:val="24"/>
          <w:szCs w:val="24"/>
        </w:rPr>
        <w:t xml:space="preserve"> jointly</w:t>
      </w:r>
      <w:r w:rsidR="00DA32DE">
        <w:rPr>
          <w:rFonts w:ascii="Times New Roman" w:hAnsi="Times New Roman" w:cs="Times New Roman"/>
          <w:sz w:val="24"/>
          <w:szCs w:val="24"/>
        </w:rPr>
        <w:t xml:space="preserve"> by husband and wife) </w:t>
      </w:r>
      <w:r w:rsidR="0027504C">
        <w:rPr>
          <w:rFonts w:ascii="Times New Roman" w:hAnsi="Times New Roman" w:cs="Times New Roman"/>
          <w:sz w:val="24"/>
          <w:szCs w:val="24"/>
        </w:rPr>
        <w:t xml:space="preserve">should be treated in comparison with the case where the woman alone takes a decision </w:t>
      </w:r>
      <w:r w:rsidR="0027504C">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Seymour","given":"Greg","non-dropping-particle":"","parse-names":false,"suffix":""},{"dropping-particle":"","family":"Peterman","given":"Amber","non-dropping-particle":"","parse-names":false,"suffix":""}],"container-title":"World Development","id":"ITEM-1","issued":{"date-parts":[["2018"]]},"page":"97-112","title":"Context and measurement : An analysis of the relationship between intrahousehold decision making and autonomy","type":"article-journal","volume":"111"},"uris":["http://www.mendeley.com/documents/?uuid=da54cd03-7a65-4cab-aa58-1ee75dca6576"]}],"mendeley":{"formattedCitation":"(Seymour &amp; Peterman, 2018)","plainTextFormattedCitation":"(Seymour &amp; Peterman, 2018)","previouslyFormattedCitation":"(Seymour &amp; Peterman, 2018)"},"properties":{"noteIndex":0},"schema":"https://github.com/citation-style-language/schema/raw/master/csl-citation.json"}</w:instrText>
      </w:r>
      <w:r w:rsidR="0027504C">
        <w:rPr>
          <w:rFonts w:ascii="Times New Roman" w:hAnsi="Times New Roman" w:cs="Times New Roman"/>
          <w:sz w:val="24"/>
          <w:szCs w:val="24"/>
        </w:rPr>
        <w:fldChar w:fldCharType="separate"/>
      </w:r>
      <w:r w:rsidR="0027504C" w:rsidRPr="005B2BDC">
        <w:rPr>
          <w:rFonts w:ascii="Times New Roman" w:hAnsi="Times New Roman" w:cs="Times New Roman"/>
          <w:noProof/>
          <w:sz w:val="24"/>
          <w:szCs w:val="24"/>
        </w:rPr>
        <w:t>(Seymour &amp; Peterman, 2018)</w:t>
      </w:r>
      <w:r w:rsidR="0027504C">
        <w:rPr>
          <w:rFonts w:ascii="Times New Roman" w:hAnsi="Times New Roman" w:cs="Times New Roman"/>
          <w:sz w:val="24"/>
          <w:szCs w:val="24"/>
        </w:rPr>
        <w:fldChar w:fldCharType="end"/>
      </w:r>
      <w:r w:rsidR="0027504C">
        <w:rPr>
          <w:rFonts w:ascii="Times New Roman" w:hAnsi="Times New Roman" w:cs="Times New Roman"/>
          <w:sz w:val="24"/>
          <w:szCs w:val="24"/>
        </w:rPr>
        <w:t xml:space="preserve">. </w:t>
      </w:r>
      <w:r w:rsidR="002377D5">
        <w:rPr>
          <w:rFonts w:ascii="Times New Roman" w:hAnsi="Times New Roman" w:cs="Times New Roman"/>
          <w:sz w:val="24"/>
          <w:szCs w:val="24"/>
        </w:rPr>
        <w:t xml:space="preserve">A woman’s intrahousehold status </w:t>
      </w:r>
      <w:r w:rsidR="00052E58">
        <w:rPr>
          <w:rFonts w:ascii="Times New Roman" w:hAnsi="Times New Roman" w:cs="Times New Roman"/>
          <w:sz w:val="24"/>
          <w:szCs w:val="24"/>
        </w:rPr>
        <w:t xml:space="preserve">is also </w:t>
      </w:r>
      <w:r w:rsidR="002377D5">
        <w:rPr>
          <w:rFonts w:ascii="Times New Roman" w:hAnsi="Times New Roman" w:cs="Times New Roman"/>
          <w:sz w:val="24"/>
          <w:szCs w:val="24"/>
        </w:rPr>
        <w:t>related to factors like her education, caste, and household wealth, but</w:t>
      </w:r>
      <w:r w:rsidR="00FA5091">
        <w:rPr>
          <w:rFonts w:ascii="Times New Roman" w:hAnsi="Times New Roman" w:cs="Times New Roman"/>
          <w:sz w:val="24"/>
          <w:szCs w:val="24"/>
        </w:rPr>
        <w:t xml:space="preserve"> unique to</w:t>
      </w:r>
      <w:r w:rsidR="002377D5">
        <w:rPr>
          <w:rFonts w:ascii="Times New Roman" w:hAnsi="Times New Roman" w:cs="Times New Roman"/>
          <w:sz w:val="24"/>
          <w:szCs w:val="24"/>
        </w:rPr>
        <w:t xml:space="preserve"> India</w:t>
      </w:r>
      <w:r w:rsidR="00C15AFE">
        <w:rPr>
          <w:rFonts w:ascii="Times New Roman" w:hAnsi="Times New Roman" w:cs="Times New Roman"/>
          <w:sz w:val="24"/>
          <w:szCs w:val="24"/>
        </w:rPr>
        <w:t xml:space="preserve"> (and a few other Asian </w:t>
      </w:r>
      <w:r w:rsidR="007251D4">
        <w:rPr>
          <w:rFonts w:ascii="Times New Roman" w:hAnsi="Times New Roman" w:cs="Times New Roman"/>
          <w:sz w:val="24"/>
          <w:szCs w:val="24"/>
        </w:rPr>
        <w:t>countries</w:t>
      </w:r>
      <w:r w:rsidR="00C15AFE">
        <w:rPr>
          <w:rFonts w:ascii="Times New Roman" w:hAnsi="Times New Roman" w:cs="Times New Roman"/>
          <w:sz w:val="24"/>
          <w:szCs w:val="24"/>
        </w:rPr>
        <w:t>)</w:t>
      </w:r>
      <w:r w:rsidR="00A04707">
        <w:rPr>
          <w:rFonts w:ascii="Times New Roman" w:hAnsi="Times New Roman" w:cs="Times New Roman"/>
          <w:sz w:val="24"/>
          <w:szCs w:val="24"/>
        </w:rPr>
        <w:t>,</w:t>
      </w:r>
      <w:r w:rsidR="002377D5">
        <w:rPr>
          <w:rFonts w:ascii="Times New Roman" w:hAnsi="Times New Roman" w:cs="Times New Roman"/>
          <w:sz w:val="24"/>
          <w:szCs w:val="24"/>
        </w:rPr>
        <w:t xml:space="preserve"> is </w:t>
      </w:r>
      <w:r w:rsidR="00814604">
        <w:rPr>
          <w:rFonts w:ascii="Times New Roman" w:hAnsi="Times New Roman" w:cs="Times New Roman"/>
          <w:sz w:val="24"/>
          <w:szCs w:val="24"/>
        </w:rPr>
        <w:t>its</w:t>
      </w:r>
      <w:r w:rsidR="002377D5">
        <w:rPr>
          <w:rFonts w:ascii="Times New Roman" w:hAnsi="Times New Roman" w:cs="Times New Roman"/>
          <w:sz w:val="24"/>
          <w:szCs w:val="24"/>
        </w:rPr>
        <w:t xml:space="preserve"> association with the first-born child’s sex. Son-preference has been a persistent cultural phenomenon, and research shows that </w:t>
      </w:r>
      <w:r w:rsidR="002377D5" w:rsidRPr="007E27C2">
        <w:rPr>
          <w:rFonts w:ascii="Times New Roman" w:hAnsi="Times New Roman" w:cs="Times New Roman"/>
          <w:sz w:val="24"/>
          <w:szCs w:val="24"/>
        </w:rPr>
        <w:t>having a first-born girl rather than</w:t>
      </w:r>
      <w:r w:rsidR="002377D5">
        <w:rPr>
          <w:rFonts w:ascii="Times New Roman" w:hAnsi="Times New Roman" w:cs="Times New Roman"/>
          <w:sz w:val="24"/>
          <w:szCs w:val="24"/>
        </w:rPr>
        <w:t xml:space="preserve"> </w:t>
      </w:r>
      <w:r w:rsidR="002377D5" w:rsidRPr="007E27C2">
        <w:rPr>
          <w:rFonts w:ascii="Times New Roman" w:hAnsi="Times New Roman" w:cs="Times New Roman"/>
          <w:sz w:val="24"/>
          <w:szCs w:val="24"/>
        </w:rPr>
        <w:t>boy</w:t>
      </w:r>
      <w:r w:rsidR="002377D5">
        <w:rPr>
          <w:rFonts w:ascii="Times New Roman" w:hAnsi="Times New Roman" w:cs="Times New Roman"/>
          <w:sz w:val="24"/>
          <w:szCs w:val="24"/>
        </w:rPr>
        <w:t>,</w:t>
      </w:r>
      <w:r w:rsidR="00094C8D">
        <w:rPr>
          <w:rFonts w:ascii="Times New Roman" w:hAnsi="Times New Roman" w:cs="Times New Roman"/>
          <w:sz w:val="24"/>
          <w:szCs w:val="24"/>
        </w:rPr>
        <w:t xml:space="preserve"> significantly</w:t>
      </w:r>
      <w:r w:rsidR="002377D5">
        <w:rPr>
          <w:rFonts w:ascii="Times New Roman" w:hAnsi="Times New Roman" w:cs="Times New Roman"/>
          <w:sz w:val="24"/>
          <w:szCs w:val="24"/>
        </w:rPr>
        <w:t xml:space="preserve"> reduces a woman’s</w:t>
      </w:r>
      <w:r w:rsidR="002377D5" w:rsidRPr="007E27C2">
        <w:rPr>
          <w:rFonts w:ascii="Times New Roman" w:hAnsi="Times New Roman" w:cs="Times New Roman"/>
          <w:sz w:val="24"/>
          <w:szCs w:val="24"/>
        </w:rPr>
        <w:t xml:space="preserve"> intrahousehold status</w:t>
      </w:r>
      <w:r w:rsidR="002377D5">
        <w:rPr>
          <w:rFonts w:ascii="Times New Roman" w:hAnsi="Times New Roman" w:cs="Times New Roman"/>
          <w:sz w:val="24"/>
          <w:szCs w:val="24"/>
        </w:rPr>
        <w:t>.</w:t>
      </w:r>
      <w:r w:rsidR="00835BDC">
        <w:rPr>
          <w:rStyle w:val="FootnoteReference"/>
          <w:rFonts w:ascii="Times New Roman" w:hAnsi="Times New Roman" w:cs="Times New Roman"/>
          <w:sz w:val="24"/>
          <w:szCs w:val="24"/>
        </w:rPr>
        <w:footnoteReference w:id="1"/>
      </w:r>
      <w:r w:rsidR="002377D5">
        <w:rPr>
          <w:rFonts w:ascii="Times New Roman" w:hAnsi="Times New Roman" w:cs="Times New Roman"/>
          <w:sz w:val="24"/>
          <w:szCs w:val="24"/>
        </w:rPr>
        <w:t xml:space="preserve"> </w:t>
      </w:r>
    </w:p>
    <w:p w14:paraId="331E9BA3" w14:textId="4937E940" w:rsidR="009C3558" w:rsidRDefault="009C3558" w:rsidP="009C3558">
      <w:pPr>
        <w:spacing w:line="360" w:lineRule="auto"/>
        <w:jc w:val="both"/>
        <w:rPr>
          <w:rFonts w:ascii="Times New Roman" w:hAnsi="Times New Roman" w:cs="Times New Roman"/>
          <w:sz w:val="24"/>
          <w:szCs w:val="24"/>
        </w:rPr>
      </w:pPr>
      <w:r w:rsidRPr="003F5435">
        <w:rPr>
          <w:rFonts w:ascii="Times New Roman" w:hAnsi="Times New Roman" w:cs="Times New Roman"/>
          <w:sz w:val="24"/>
          <w:szCs w:val="24"/>
        </w:rPr>
        <w:t xml:space="preserve">We measure intrahousehold status by </w:t>
      </w:r>
      <w:r w:rsidR="00B22F55" w:rsidRPr="003F5435">
        <w:rPr>
          <w:rFonts w:ascii="Times New Roman" w:hAnsi="Times New Roman" w:cs="Times New Roman"/>
          <w:sz w:val="24"/>
          <w:szCs w:val="24"/>
        </w:rPr>
        <w:t>the first-born child’s sex as it is</w:t>
      </w:r>
      <w:r w:rsidRPr="003F5435">
        <w:rPr>
          <w:rFonts w:ascii="Times New Roman" w:hAnsi="Times New Roman" w:cs="Times New Roman"/>
          <w:sz w:val="24"/>
          <w:szCs w:val="24"/>
        </w:rPr>
        <w:t xml:space="preserve"> exogenously determined </w:t>
      </w:r>
      <w:r w:rsidR="00746AB8" w:rsidRPr="003F5435">
        <w:rPr>
          <w:rFonts w:ascii="Times New Roman" w:hAnsi="Times New Roman" w:cs="Times New Roman"/>
          <w:sz w:val="24"/>
          <w:szCs w:val="24"/>
        </w:rPr>
        <w:t>and</w:t>
      </w:r>
      <w:r w:rsidRPr="003F5435">
        <w:rPr>
          <w:rFonts w:ascii="Times New Roman" w:hAnsi="Times New Roman" w:cs="Times New Roman"/>
          <w:sz w:val="24"/>
          <w:szCs w:val="24"/>
        </w:rPr>
        <w:t xml:space="preserve"> ha</w:t>
      </w:r>
      <w:r w:rsidR="00B22F55" w:rsidRPr="003F5435">
        <w:rPr>
          <w:rFonts w:ascii="Times New Roman" w:hAnsi="Times New Roman" w:cs="Times New Roman"/>
          <w:sz w:val="24"/>
          <w:szCs w:val="24"/>
        </w:rPr>
        <w:t>s</w:t>
      </w:r>
      <w:r w:rsidRPr="003F5435">
        <w:rPr>
          <w:rFonts w:ascii="Times New Roman" w:hAnsi="Times New Roman" w:cs="Times New Roman"/>
          <w:sz w:val="24"/>
          <w:szCs w:val="24"/>
        </w:rPr>
        <w:t xml:space="preserve"> been established</w:t>
      </w:r>
      <w:r w:rsidR="00B22F55" w:rsidRPr="003F5435">
        <w:rPr>
          <w:rFonts w:ascii="Times New Roman" w:hAnsi="Times New Roman" w:cs="Times New Roman"/>
          <w:sz w:val="24"/>
          <w:szCs w:val="24"/>
        </w:rPr>
        <w:t xml:space="preserve"> as a robust indicator of status</w:t>
      </w:r>
      <w:r w:rsidRPr="003F5435">
        <w:rPr>
          <w:rFonts w:ascii="Times New Roman" w:hAnsi="Times New Roman" w:cs="Times New Roman"/>
          <w:sz w:val="24"/>
          <w:szCs w:val="24"/>
        </w:rPr>
        <w:t xml:space="preserve"> in previous papers</w:t>
      </w:r>
      <w:r w:rsidR="00B22F55" w:rsidRPr="003F5435">
        <w:rPr>
          <w:rFonts w:ascii="Times New Roman" w:hAnsi="Times New Roman" w:cs="Times New Roman"/>
          <w:sz w:val="24"/>
          <w:szCs w:val="24"/>
        </w:rPr>
        <w:t xml:space="preserve"> </w:t>
      </w:r>
      <w:r w:rsidRPr="003F5435">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{"citationItems":[{"id":"ITEM-1","itemData":{"author":[{"dropping-particle":"","family":"Milazzo","given":"Annamaria","non-dropping-particle":"","parse-names":false,"suffix":""}],"container-title":"Journal of Development Economics","id":"ITEM-1","issued":{"date-parts":[["2018","9"]]},"page":"467-484","title":"Why are adult women missing? Son preference and maternal survival in India","type":"article-journal","volume":"134"},"uris":["http://www.mendeley.com/documents/?uuid=9ce57a7d-3e7f-32df-a329-fff6518f67a5"]},{"id":"ITEM-2","itemData":{"author":[{"dropping-particle":"","family":"Kishore","given":"Avinash","non-dropping-particle":"","parse-names":false,"suffix":""},{"dropping-particle":"","family":"Spears","given":"Dean","non-dropping-particle":"","parse-names":false,"suffix":""}],"container-title":"Economic Development and Cultural Change","id":"ITEM-2","issued":{"date-parts":[["2014"]]},"title":"Having a Son Promotes Clean Cooking Fuel Use in Urban India : Women ’ s Status and Son Preference","type":"article-journal"},"uris":["http://www.mendeley.com/documents/?uuid=e885bec3-9301-4ecf-a84d-c524378b11de"]}],"mendeley":{"formattedCitation":"(Kishore &amp; Spears, 2014; Milazzo, 2018)","plainTextFormattedCitation":"(Kishore &amp; Spears, 2014; Milazzo, 2018)","previouslyFormattedCitation":"(Kishore &amp; Spears, 2014; Milazzo, 2018)"},"properties":{"noteIndex":0},"schema":"https://github.com/citation-style-language/schema/raw/master/csl-citation.json"}</w:instrText>
      </w:r>
      <w:r w:rsidRPr="003F5435">
        <w:rPr>
          <w:rFonts w:ascii="Times New Roman" w:hAnsi="Times New Roman" w:cs="Times New Roman"/>
          <w:sz w:val="24"/>
          <w:szCs w:val="24"/>
        </w:rPr>
        <w:fldChar w:fldCharType="separate"/>
      </w:r>
      <w:r w:rsidR="005B2BDC" w:rsidRPr="003F5435">
        <w:rPr>
          <w:rFonts w:ascii="Times New Roman" w:hAnsi="Times New Roman" w:cs="Times New Roman"/>
          <w:noProof/>
          <w:sz w:val="24"/>
          <w:szCs w:val="24"/>
        </w:rPr>
        <w:t>(Kishore &amp; Spears, 2014; Milazzo, 2018)</w:t>
      </w:r>
      <w:r w:rsidRPr="003F5435">
        <w:rPr>
          <w:rFonts w:ascii="Times New Roman" w:hAnsi="Times New Roman" w:cs="Times New Roman"/>
          <w:sz w:val="24"/>
          <w:szCs w:val="24"/>
        </w:rPr>
        <w:fldChar w:fldCharType="end"/>
      </w:r>
      <w:r w:rsidR="00B22F55" w:rsidRPr="003F5435">
        <w:rPr>
          <w:rFonts w:ascii="Times New Roman" w:hAnsi="Times New Roman" w:cs="Times New Roman"/>
          <w:sz w:val="24"/>
          <w:szCs w:val="24"/>
        </w:rPr>
        <w:t>.</w:t>
      </w:r>
      <w:r w:rsidRPr="003F5435">
        <w:rPr>
          <w:rFonts w:ascii="Times New Roman" w:hAnsi="Times New Roman" w:cs="Times New Roman"/>
          <w:sz w:val="24"/>
          <w:szCs w:val="24"/>
        </w:rPr>
        <w:t xml:space="preserve"> </w:t>
      </w:r>
      <w:r w:rsidR="00B22F55" w:rsidRPr="003F5435">
        <w:rPr>
          <w:rFonts w:ascii="Times New Roman" w:hAnsi="Times New Roman" w:cs="Times New Roman"/>
          <w:sz w:val="24"/>
          <w:szCs w:val="24"/>
        </w:rPr>
        <w:t xml:space="preserve">We additionally use a second </w:t>
      </w:r>
      <w:r w:rsidR="00C25855" w:rsidRPr="003F5435">
        <w:rPr>
          <w:rFonts w:ascii="Times New Roman" w:hAnsi="Times New Roman" w:cs="Times New Roman"/>
          <w:sz w:val="24"/>
          <w:szCs w:val="24"/>
        </w:rPr>
        <w:t>measur</w:t>
      </w:r>
      <w:r w:rsidR="00C25855">
        <w:rPr>
          <w:rFonts w:ascii="Times New Roman" w:hAnsi="Times New Roman" w:cs="Times New Roman"/>
          <w:sz w:val="24"/>
          <w:szCs w:val="24"/>
        </w:rPr>
        <w:t>e</w:t>
      </w:r>
      <w:r w:rsidR="00B31FCB">
        <w:rPr>
          <w:rFonts w:ascii="Times New Roman" w:hAnsi="Times New Roman" w:cs="Times New Roman"/>
          <w:sz w:val="24"/>
          <w:szCs w:val="24"/>
        </w:rPr>
        <w:t>,</w:t>
      </w:r>
      <w:r w:rsidR="00B22F55" w:rsidRPr="003F5435">
        <w:rPr>
          <w:rFonts w:ascii="Times New Roman" w:hAnsi="Times New Roman" w:cs="Times New Roman"/>
          <w:sz w:val="24"/>
          <w:szCs w:val="24"/>
        </w:rPr>
        <w:t xml:space="preserve"> proposed by </w:t>
      </w:r>
      <w:r w:rsidR="00C86D5C">
        <w:rPr>
          <w:rFonts w:ascii="Times New Roman" w:hAnsi="Times New Roman" w:cs="Times New Roman"/>
          <w:sz w:val="24"/>
          <w:szCs w:val="24"/>
        </w:rPr>
        <w:t xml:space="preserve">Coffey et. al. </w:t>
      </w:r>
      <w:r w:rsidRPr="003F5435">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{"citationItems":[{"id":"ITEM-1","itemData":{"abstract":"We study the intergenerational effect of a woman's social status on the health of her children. We overcome limits to causal identification in existing literature by exploiting an institutional feature of joint households in rural India: women married to the younger brother are assigned lower social rank than women married to the older brother. Studying differences among cousins within households, we find that children of lower-ranking mothers are shorter than children of higher-ranking mothers. We further argue that this effect is in part due to differences in maternal nutrition: as evidence of this mechanism, we document effects of being a lower-ranking mother on post-partum BMI and birth weight in newly collected data, and on neonatal mortality in national data. Because the relatives who arrange the marriages that we study do not take the groom's age rank among brothers into consideration, more disadvantaged mothers are not more likely to be married to younger brothers. We show that women whose marriages assign them lower social rank are not disadvantaged in health, height, or human capital before marriage and that the difference in social status that we exploit emerges after marriage. We verify that our results are not due to pre-marriage differences between fathers or mothers; are not caused by endogenous household dissolution; and are only present among children of higher-and lower-ranking mothers living together in a joint household, but not among the children of brothers living in separate households.","author":[{"dropping-particle":"","family":"Coffey","given":"Diane","non-dropping-particle":"","parse-names":false,"suffix":""},{"dropping-particle":"","family":"Khera","given":"Reetika","non-dropping-particle":"","parse-names":false,"suffix":""},{"dropping-particle":"","family":"Spears","given":"Dean","non-dropping-particle":"","parse-names":false,"suffix":""}],"id":"ITEM-1","issued":{"date-parts":[["2015"]]},"title":"Intergenerational effects of women's status: Evidence from joint Indian households","type":"report"},"uris":["http://www.mendeley.com/documents/?uuid=578a3679-3bd8-3e84-8c90-6627c2c7ebcd"]}],"mendeley":{"formattedCitation":"(Coffey et al., 2015)","manualFormatting":"(2015)","plainTextFormattedCitation":"(Coffey et al., 2015)","previouslyFormattedCitation":"(Coffey et al., 2015)"},"properties":{"noteIndex":0},"schema":"https://github.com/citation-style-language/schema/raw/master/csl-citation.json"}</w:instrText>
      </w:r>
      <w:r w:rsidRPr="003F5435">
        <w:rPr>
          <w:rFonts w:ascii="Times New Roman" w:hAnsi="Times New Roman" w:cs="Times New Roman"/>
          <w:sz w:val="24"/>
          <w:szCs w:val="24"/>
        </w:rPr>
        <w:fldChar w:fldCharType="separate"/>
      </w:r>
      <w:r w:rsidR="005B2BDC" w:rsidRPr="003F5435">
        <w:rPr>
          <w:rFonts w:ascii="Times New Roman" w:hAnsi="Times New Roman" w:cs="Times New Roman"/>
          <w:noProof/>
          <w:sz w:val="24"/>
          <w:szCs w:val="24"/>
        </w:rPr>
        <w:t>(2015)</w:t>
      </w:r>
      <w:r w:rsidRPr="003F5435">
        <w:rPr>
          <w:rFonts w:ascii="Times New Roman" w:hAnsi="Times New Roman" w:cs="Times New Roman"/>
          <w:sz w:val="24"/>
          <w:szCs w:val="24"/>
        </w:rPr>
        <w:fldChar w:fldCharType="end"/>
      </w:r>
      <w:r w:rsidR="00416668" w:rsidRPr="003F5435">
        <w:rPr>
          <w:rFonts w:ascii="Times New Roman" w:hAnsi="Times New Roman" w:cs="Times New Roman"/>
          <w:sz w:val="24"/>
          <w:szCs w:val="24"/>
        </w:rPr>
        <w:t xml:space="preserve"> wherein</w:t>
      </w:r>
      <w:r w:rsidR="00B22F55" w:rsidRPr="003F5435">
        <w:rPr>
          <w:rFonts w:ascii="Times New Roman" w:hAnsi="Times New Roman" w:cs="Times New Roman"/>
          <w:sz w:val="24"/>
          <w:szCs w:val="24"/>
        </w:rPr>
        <w:t xml:space="preserve"> the higher ranked daughter-in-law (</w:t>
      </w:r>
      <w:proofErr w:type="spellStart"/>
      <w:r w:rsidR="00B22F55" w:rsidRPr="003F5435">
        <w:rPr>
          <w:rFonts w:ascii="Times New Roman" w:hAnsi="Times New Roman" w:cs="Times New Roman"/>
          <w:i/>
          <w:noProof/>
          <w:sz w:val="24"/>
          <w:szCs w:val="24"/>
        </w:rPr>
        <w:t>badi</w:t>
      </w:r>
      <w:proofErr w:type="spellEnd"/>
      <w:r w:rsidR="00B22F55" w:rsidRPr="003F5435">
        <w:rPr>
          <w:rFonts w:ascii="Times New Roman" w:hAnsi="Times New Roman" w:cs="Times New Roman"/>
          <w:i/>
          <w:sz w:val="24"/>
          <w:szCs w:val="24"/>
        </w:rPr>
        <w:t>-bahu</w:t>
      </w:r>
      <w:r w:rsidR="00B22F55" w:rsidRPr="003F5435">
        <w:rPr>
          <w:rFonts w:ascii="Times New Roman" w:hAnsi="Times New Roman" w:cs="Times New Roman"/>
          <w:sz w:val="24"/>
          <w:szCs w:val="24"/>
        </w:rPr>
        <w:t xml:space="preserve">) in a </w:t>
      </w:r>
      <w:r w:rsidR="00416668" w:rsidRPr="003F5435">
        <w:rPr>
          <w:rFonts w:ascii="Times New Roman" w:hAnsi="Times New Roman" w:cs="Times New Roman"/>
          <w:sz w:val="24"/>
          <w:szCs w:val="24"/>
        </w:rPr>
        <w:t xml:space="preserve">patrilocal </w:t>
      </w:r>
      <w:r w:rsidR="00B22F55" w:rsidRPr="003F5435">
        <w:rPr>
          <w:rFonts w:ascii="Times New Roman" w:hAnsi="Times New Roman" w:cs="Times New Roman"/>
          <w:sz w:val="24"/>
          <w:szCs w:val="24"/>
        </w:rPr>
        <w:t>joint family</w:t>
      </w:r>
      <w:r w:rsidR="00416668">
        <w:rPr>
          <w:rFonts w:ascii="Times New Roman" w:hAnsi="Times New Roman" w:cs="Times New Roman"/>
          <w:sz w:val="24"/>
          <w:szCs w:val="24"/>
        </w:rPr>
        <w:t xml:space="preserve"> has higher intrahousehold status than the lower ranked daughter-in-law (</w:t>
      </w:r>
      <w:proofErr w:type="spellStart"/>
      <w:r w:rsidR="00416668" w:rsidRPr="00416668">
        <w:rPr>
          <w:rFonts w:ascii="Times New Roman" w:hAnsi="Times New Roman" w:cs="Times New Roman"/>
          <w:i/>
          <w:sz w:val="24"/>
          <w:szCs w:val="24"/>
        </w:rPr>
        <w:t>chhoti</w:t>
      </w:r>
      <w:proofErr w:type="spellEnd"/>
      <w:r w:rsidR="00416668" w:rsidRPr="00416668">
        <w:rPr>
          <w:rFonts w:ascii="Times New Roman" w:hAnsi="Times New Roman" w:cs="Times New Roman"/>
          <w:i/>
          <w:sz w:val="24"/>
          <w:szCs w:val="24"/>
        </w:rPr>
        <w:t>-bahu</w:t>
      </w:r>
      <w:r w:rsidR="00416668">
        <w:rPr>
          <w:rFonts w:ascii="Times New Roman" w:hAnsi="Times New Roman" w:cs="Times New Roman"/>
          <w:sz w:val="24"/>
          <w:szCs w:val="24"/>
        </w:rPr>
        <w:t xml:space="preserve">). </w:t>
      </w:r>
      <w:r w:rsidR="00FE1585">
        <w:rPr>
          <w:rFonts w:ascii="Times New Roman" w:hAnsi="Times New Roman" w:cs="Times New Roman"/>
          <w:sz w:val="24"/>
          <w:szCs w:val="24"/>
        </w:rPr>
        <w:t>H</w:t>
      </w:r>
      <w:r>
        <w:rPr>
          <w:rFonts w:ascii="Times New Roman" w:hAnsi="Times New Roman" w:cs="Times New Roman"/>
          <w:sz w:val="24"/>
          <w:szCs w:val="24"/>
        </w:rPr>
        <w:t xml:space="preserve">igher status, as measured by the first child being male, increases a woman’s BMI across </w:t>
      </w:r>
      <w:r w:rsidR="00C15AFE">
        <w:rPr>
          <w:rFonts w:ascii="Times New Roman" w:hAnsi="Times New Roman" w:cs="Times New Roman"/>
          <w:sz w:val="24"/>
          <w:szCs w:val="24"/>
        </w:rPr>
        <w:t>the entire distribution of BMI values</w:t>
      </w:r>
      <w:r w:rsidR="0090516E">
        <w:rPr>
          <w:rFonts w:ascii="Times New Roman" w:hAnsi="Times New Roman" w:cs="Times New Roman"/>
          <w:sz w:val="24"/>
          <w:szCs w:val="24"/>
        </w:rPr>
        <w:t xml:space="preserve">. </w:t>
      </w:r>
      <w:r>
        <w:rPr>
          <w:rFonts w:ascii="Times New Roman" w:hAnsi="Times New Roman" w:cs="Times New Roman"/>
          <w:sz w:val="24"/>
          <w:szCs w:val="24"/>
        </w:rPr>
        <w:t>Higher ranked daughters-in-law (</w:t>
      </w:r>
      <w:proofErr w:type="spellStart"/>
      <w:r>
        <w:rPr>
          <w:rFonts w:ascii="Times New Roman" w:hAnsi="Times New Roman" w:cs="Times New Roman"/>
          <w:i/>
          <w:noProof/>
          <w:sz w:val="24"/>
          <w:szCs w:val="24"/>
        </w:rPr>
        <w:t>badi</w:t>
      </w:r>
      <w:proofErr w:type="spellEnd"/>
      <w:r>
        <w:rPr>
          <w:rFonts w:ascii="Times New Roman" w:hAnsi="Times New Roman" w:cs="Times New Roman"/>
          <w:i/>
          <w:sz w:val="24"/>
          <w:szCs w:val="24"/>
        </w:rPr>
        <w:t>-bahus</w:t>
      </w:r>
      <w:r>
        <w:rPr>
          <w:rFonts w:ascii="Times New Roman" w:hAnsi="Times New Roman" w:cs="Times New Roman"/>
          <w:sz w:val="24"/>
          <w:szCs w:val="24"/>
        </w:rPr>
        <w:t xml:space="preserve">) are more likely to be </w:t>
      </w:r>
      <w:r>
        <w:rPr>
          <w:rFonts w:ascii="Times New Roman" w:hAnsi="Times New Roman" w:cs="Times New Roman"/>
          <w:sz w:val="24"/>
          <w:szCs w:val="24"/>
        </w:rPr>
        <w:lastRenderedPageBreak/>
        <w:t>overweight/obese in joint families than lower ranked daughters-in-law (</w:t>
      </w:r>
      <w:proofErr w:type="spellStart"/>
      <w:r>
        <w:rPr>
          <w:rFonts w:ascii="Times New Roman" w:hAnsi="Times New Roman" w:cs="Times New Roman"/>
          <w:i/>
          <w:noProof/>
          <w:sz w:val="24"/>
          <w:szCs w:val="24"/>
        </w:rPr>
        <w:t>chhoti</w:t>
      </w:r>
      <w:proofErr w:type="spellEnd"/>
      <w:r>
        <w:rPr>
          <w:rFonts w:ascii="Times New Roman" w:hAnsi="Times New Roman" w:cs="Times New Roman"/>
          <w:i/>
          <w:sz w:val="24"/>
          <w:szCs w:val="24"/>
        </w:rPr>
        <w:t xml:space="preserve">-bahus). </w:t>
      </w:r>
      <w:r>
        <w:rPr>
          <w:rFonts w:ascii="Times New Roman" w:hAnsi="Times New Roman" w:cs="Times New Roman"/>
          <w:sz w:val="24"/>
          <w:szCs w:val="24"/>
        </w:rPr>
        <w:t>Using other</w:t>
      </w:r>
      <w:r w:rsidR="006E0C1B">
        <w:rPr>
          <w:rFonts w:ascii="Times New Roman" w:hAnsi="Times New Roman" w:cs="Times New Roman"/>
          <w:sz w:val="24"/>
          <w:szCs w:val="24"/>
        </w:rPr>
        <w:t xml:space="preserve"> objective</w:t>
      </w:r>
      <w:r>
        <w:rPr>
          <w:rFonts w:ascii="Times New Roman" w:hAnsi="Times New Roman" w:cs="Times New Roman"/>
          <w:sz w:val="24"/>
          <w:szCs w:val="24"/>
        </w:rPr>
        <w:t xml:space="preserve"> measures that reveal status</w:t>
      </w:r>
      <w:r w:rsidR="00161546">
        <w:rPr>
          <w:rFonts w:ascii="Times New Roman" w:hAnsi="Times New Roman" w:cs="Times New Roman"/>
          <w:sz w:val="24"/>
          <w:szCs w:val="24"/>
        </w:rPr>
        <w:t>,</w:t>
      </w:r>
      <w:r>
        <w:rPr>
          <w:rFonts w:ascii="Times New Roman" w:hAnsi="Times New Roman" w:cs="Times New Roman"/>
          <w:sz w:val="24"/>
          <w:szCs w:val="24"/>
        </w:rPr>
        <w:t xml:space="preserve"> also points to the same conclusion: women who are more educated, women who work in paid jobs in offices, and women who married at an older age, are all more likely to be overweight/obese. </w:t>
      </w:r>
    </w:p>
    <w:p w14:paraId="38458A5E" w14:textId="2E72DDBA" w:rsidR="006B243C"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further </w:t>
      </w:r>
      <w:r w:rsidR="00BB3C0A">
        <w:rPr>
          <w:rFonts w:ascii="Times New Roman" w:hAnsi="Times New Roman" w:cs="Times New Roman"/>
          <w:sz w:val="24"/>
          <w:szCs w:val="24"/>
        </w:rPr>
        <w:t>try</w:t>
      </w:r>
      <w:r>
        <w:rPr>
          <w:rFonts w:ascii="Times New Roman" w:hAnsi="Times New Roman" w:cs="Times New Roman"/>
          <w:sz w:val="24"/>
          <w:szCs w:val="24"/>
        </w:rPr>
        <w:t xml:space="preserve"> to trace mechanisms linking status to BMI</w:t>
      </w:r>
      <w:r w:rsidR="00E5323F">
        <w:rPr>
          <w:rFonts w:ascii="Times New Roman" w:hAnsi="Times New Roman" w:cs="Times New Roman"/>
          <w:sz w:val="24"/>
          <w:szCs w:val="24"/>
        </w:rPr>
        <w:t>, focu</w:t>
      </w:r>
      <w:r>
        <w:rPr>
          <w:rFonts w:ascii="Times New Roman" w:hAnsi="Times New Roman" w:cs="Times New Roman"/>
          <w:sz w:val="24"/>
          <w:szCs w:val="24"/>
        </w:rPr>
        <w:t>s</w:t>
      </w:r>
      <w:r w:rsidR="00E5323F">
        <w:rPr>
          <w:rFonts w:ascii="Times New Roman" w:hAnsi="Times New Roman" w:cs="Times New Roman"/>
          <w:sz w:val="24"/>
          <w:szCs w:val="24"/>
        </w:rPr>
        <w:t>ing</w:t>
      </w:r>
      <w:r>
        <w:rPr>
          <w:rFonts w:ascii="Times New Roman" w:hAnsi="Times New Roman" w:cs="Times New Roman"/>
          <w:sz w:val="24"/>
          <w:szCs w:val="24"/>
        </w:rPr>
        <w:t xml:space="preserve"> on consumption</w:t>
      </w:r>
      <w:r w:rsidR="00CE0538">
        <w:rPr>
          <w:rFonts w:ascii="Times New Roman" w:hAnsi="Times New Roman" w:cs="Times New Roman"/>
          <w:sz w:val="24"/>
          <w:szCs w:val="24"/>
        </w:rPr>
        <w:t xml:space="preserve"> of leisure</w:t>
      </w:r>
      <w:r>
        <w:rPr>
          <w:rFonts w:ascii="Times New Roman" w:hAnsi="Times New Roman" w:cs="Times New Roman"/>
          <w:sz w:val="24"/>
          <w:szCs w:val="24"/>
        </w:rPr>
        <w:t xml:space="preserve"> and dietary </w:t>
      </w:r>
      <w:r w:rsidR="00C2678A">
        <w:rPr>
          <w:rFonts w:ascii="Times New Roman" w:hAnsi="Times New Roman" w:cs="Times New Roman"/>
          <w:sz w:val="24"/>
          <w:szCs w:val="24"/>
        </w:rPr>
        <w:t>habits</w:t>
      </w:r>
      <w:r>
        <w:rPr>
          <w:rFonts w:ascii="Times New Roman" w:hAnsi="Times New Roman" w:cs="Times New Roman"/>
          <w:sz w:val="24"/>
          <w:szCs w:val="24"/>
        </w:rPr>
        <w:t>. Historically, women’s time</w:t>
      </w:r>
      <w:r w:rsidR="0057342B">
        <w:rPr>
          <w:rFonts w:ascii="Times New Roman" w:hAnsi="Times New Roman" w:cs="Times New Roman"/>
          <w:sz w:val="24"/>
          <w:szCs w:val="24"/>
        </w:rPr>
        <w:t xml:space="preserve"> </w:t>
      </w:r>
      <w:r>
        <w:rPr>
          <w:rFonts w:ascii="Times New Roman" w:hAnsi="Times New Roman" w:cs="Times New Roman"/>
          <w:sz w:val="24"/>
          <w:szCs w:val="24"/>
        </w:rPr>
        <w:t xml:space="preserve">use has been determined by socio-cultural norms that reward ‘purity’ </w:t>
      </w:r>
      <w:r w:rsidR="00E959B1">
        <w:rPr>
          <w:rFonts w:ascii="Times New Roman" w:hAnsi="Times New Roman" w:cs="Times New Roman"/>
          <w:sz w:val="24"/>
          <w:szCs w:val="24"/>
        </w:rPr>
        <w:fldChar w:fldCharType="begin" w:fldLock="1"/>
      </w:r>
      <w:r w:rsidR="00F70351">
        <w:rPr>
          <w:rFonts w:ascii="Times New Roman" w:hAnsi="Times New Roman" w:cs="Times New Roman"/>
          <w:sz w:val="24"/>
          <w:szCs w:val="24"/>
        </w:rPr>
        <w:instrText>ADDIN CSL_CITATION {"citationItems":[{"id":"ITEM-1","itemData":{"DOI":"10.1086/668282","ISSN":"00130079","abstract":"Abstract We argue that women may be disinclined to participate in market work in the rural areas of India because of family status concerns in a culture that stigmatizes market work by married women. We set out a theoretical framework that offers predictions regarding the effects of caste-based status concerns on the time allocation of women. We then use the all-India National Sample Survey data for the year 2004–5 and the Time Use Survey for six states of India for the year 1998–99 to empirically test these hypotheses. After controlling for a host of correlates, we find that the ratio of women’s market work to men’s declines as we move up the caste hierarchy. This ratio falls as family wealth rises, and the decline is steeper for the higher castes. Finally, the effect on women’s market work of higher education is weaker for the higher castes. These findings lend support to our theory and to the view that, through its emphasis on family status, caste plays a pivotal role in undermining the autonomy of women. Our article has implications for how culture impinges on the rate at which poverty in developing countries can be reduced. CR - Copyright &amp;#169; 2013 The University of Chicago Press","author":[{"dropping-particle":"","family":"Eswaran","given":"Mukesh","non-dropping-particle":"","parse-names":false,"suffix":""},{"dropping-particle":"","family":"Ramaswami","given":"Bharat","non-dropping-particle":"","parse-names":false,"suffix":""},{"dropping-particle":"","family":"Wadhwa","given":"Wilima","non-dropping-particle":"","parse-names":false,"suffix":""}],"container-title":"Economic Development and Cultural Change","id":"ITEM-1","issue":"2","issued":{"date-parts":[["2013","1"]]},"page":"311-333","title":"Status, caste, and the time allocation of women in rural India","type":"article-journal","volume":"61"},"uris":["http://www.mendeley.com/documents/?uuid=905406e1-37b1-3184-8712-f71eba7ef57c"]}],"mendeley":{"formattedCitation":"(Eswaran, Ramaswami, &amp; Wadhwa, 2013)","plainTextFormattedCitation":"(Eswaran, Ramaswami, &amp; Wadhwa, 2013)","previouslyFormattedCitation":"(Eswaran, Ramaswami, &amp; Wadhwa, 2013)"},"properties":{"noteIndex":0},"schema":"https://github.com/citation-style-language/schema/raw/master/csl-citation.json"}</w:instrText>
      </w:r>
      <w:r w:rsidR="00E959B1">
        <w:rPr>
          <w:rFonts w:ascii="Times New Roman" w:hAnsi="Times New Roman" w:cs="Times New Roman"/>
          <w:sz w:val="24"/>
          <w:szCs w:val="24"/>
        </w:rPr>
        <w:fldChar w:fldCharType="separate"/>
      </w:r>
      <w:r w:rsidR="00E959B1" w:rsidRPr="00E959B1">
        <w:rPr>
          <w:rFonts w:ascii="Times New Roman" w:hAnsi="Times New Roman" w:cs="Times New Roman"/>
          <w:noProof/>
          <w:sz w:val="24"/>
          <w:szCs w:val="24"/>
        </w:rPr>
        <w:t>(Eswaran, Ramaswami, &amp; Wadhwa, 2013)</w:t>
      </w:r>
      <w:r w:rsidR="00E959B1">
        <w:rPr>
          <w:rFonts w:ascii="Times New Roman" w:hAnsi="Times New Roman" w:cs="Times New Roman"/>
          <w:sz w:val="24"/>
          <w:szCs w:val="24"/>
        </w:rPr>
        <w:fldChar w:fldCharType="end"/>
      </w:r>
      <w:r>
        <w:rPr>
          <w:rFonts w:ascii="Times New Roman" w:hAnsi="Times New Roman" w:cs="Times New Roman"/>
          <w:sz w:val="24"/>
          <w:szCs w:val="24"/>
        </w:rPr>
        <w:t>. Women have</w:t>
      </w:r>
      <w:r w:rsidR="005516E9">
        <w:rPr>
          <w:rFonts w:ascii="Times New Roman" w:hAnsi="Times New Roman" w:cs="Times New Roman"/>
          <w:sz w:val="24"/>
          <w:szCs w:val="24"/>
        </w:rPr>
        <w:t xml:space="preserve"> had</w:t>
      </w:r>
      <w:r>
        <w:rPr>
          <w:rFonts w:ascii="Times New Roman" w:hAnsi="Times New Roman" w:cs="Times New Roman"/>
          <w:sz w:val="24"/>
          <w:szCs w:val="24"/>
        </w:rPr>
        <w:t xml:space="preserve"> restricted mobility and low participation in paid work outside the house. Only the poorest are engaged in labour intensive </w:t>
      </w:r>
      <w:r w:rsidR="002C4AEF">
        <w:rPr>
          <w:rFonts w:ascii="Times New Roman" w:hAnsi="Times New Roman" w:cs="Times New Roman"/>
          <w:sz w:val="24"/>
          <w:szCs w:val="24"/>
        </w:rPr>
        <w:t>work</w:t>
      </w:r>
      <w:r>
        <w:rPr>
          <w:rFonts w:ascii="Times New Roman" w:hAnsi="Times New Roman" w:cs="Times New Roman"/>
          <w:sz w:val="24"/>
          <w:szCs w:val="24"/>
        </w:rPr>
        <w:t xml:space="preserve"> to meet</w:t>
      </w:r>
      <w:r w:rsidR="00A52926">
        <w:rPr>
          <w:rFonts w:ascii="Times New Roman" w:hAnsi="Times New Roman" w:cs="Times New Roman"/>
          <w:sz w:val="24"/>
          <w:szCs w:val="24"/>
        </w:rPr>
        <w:t xml:space="preserve"> their household’s</w:t>
      </w:r>
      <w:r>
        <w:rPr>
          <w:rFonts w:ascii="Times New Roman" w:hAnsi="Times New Roman" w:cs="Times New Roman"/>
          <w:sz w:val="24"/>
          <w:szCs w:val="24"/>
        </w:rPr>
        <w:t xml:space="preserve"> basic income requirements </w:t>
      </w:r>
      <w:r w:rsidR="00384AC4">
        <w:rPr>
          <w:rFonts w:ascii="Times New Roman" w:hAnsi="Times New Roman" w:cs="Times New Roman"/>
          <w:sz w:val="24"/>
          <w:szCs w:val="24"/>
        </w:rPr>
        <w:fldChar w:fldCharType="begin" w:fldLock="1"/>
      </w:r>
      <w:r w:rsidR="00CC328E">
        <w:rPr>
          <w:rFonts w:ascii="Times New Roman" w:hAnsi="Times New Roman" w:cs="Times New Roman"/>
          <w:sz w:val="24"/>
          <w:szCs w:val="24"/>
        </w:rPr>
        <w:instrText>ADDIN CSL_CITATION {"citationItems":[{"id":"ITEM-1","itemData":{"author":[{"dropping-particle":"","family":"Rao","given":"Nitya","non-dropping-particle":"","parse-names":false,"suffix":""},{"dropping-particle":"","family":"Verschoor","given":"Arjan","non-dropping-particle":"","parse-names":false,"suffix":""},{"dropping-particle":"","family":"Deshpande","given":"Ashwini","non-dropping-particle":"","parse-names":false,"suffix":""},{"dropping-particle":"","family":"Dubey","given":"Amaresh","non-dropping-particle":"","parse-names":false,"suffix":""}],"id":"ITEM-1","issued":{"date-parts":[["2010"]]},"title":"Gender caste and growth assessment-India: Report to Department for International development","type":"report"},"uris":["http://www.mendeley.com/documents/?uuid=ed9df963-bf13-315e-b95e-c7309a25a141"]}],"mendeley":{"formattedCitation":"(Rao, Verschoor, Deshpande, &amp; Dubey, 2010)","plainTextFormattedCitation":"(Rao, Verschoor, Deshpande, &amp; Dubey, 2010)","previouslyFormattedCitation":"(Rao, Verschoor, Deshpande, &amp; Dubey, 2010)"},"properties":{"noteIndex":0},"schema":"https://github.com/citation-style-language/schema/raw/master/csl-citation.json"}</w:instrText>
      </w:r>
      <w:r w:rsidR="00384AC4">
        <w:rPr>
          <w:rFonts w:ascii="Times New Roman" w:hAnsi="Times New Roman" w:cs="Times New Roman"/>
          <w:sz w:val="24"/>
          <w:szCs w:val="24"/>
        </w:rPr>
        <w:fldChar w:fldCharType="separate"/>
      </w:r>
      <w:r w:rsidR="00384AC4" w:rsidRPr="00384AC4">
        <w:rPr>
          <w:rFonts w:ascii="Times New Roman" w:hAnsi="Times New Roman" w:cs="Times New Roman"/>
          <w:noProof/>
          <w:sz w:val="24"/>
          <w:szCs w:val="24"/>
        </w:rPr>
        <w:t>(Rao, Verschoor, Deshpande, &amp; Dubey, 2010)</w:t>
      </w:r>
      <w:r w:rsidR="00384AC4">
        <w:rPr>
          <w:rFonts w:ascii="Times New Roman" w:hAnsi="Times New Roman" w:cs="Times New Roman"/>
          <w:sz w:val="24"/>
          <w:szCs w:val="24"/>
        </w:rPr>
        <w:fldChar w:fldCharType="end"/>
      </w:r>
      <w:r>
        <w:rPr>
          <w:rFonts w:ascii="Times New Roman" w:hAnsi="Times New Roman" w:cs="Times New Roman"/>
          <w:sz w:val="24"/>
          <w:szCs w:val="24"/>
        </w:rPr>
        <w:t xml:space="preserve">. Moreover, women are </w:t>
      </w:r>
      <w:r w:rsidR="005875BB">
        <w:rPr>
          <w:rFonts w:ascii="Times New Roman" w:hAnsi="Times New Roman" w:cs="Times New Roman"/>
          <w:sz w:val="24"/>
          <w:szCs w:val="24"/>
        </w:rPr>
        <w:t xml:space="preserve">often </w:t>
      </w:r>
      <w:r>
        <w:rPr>
          <w:rFonts w:ascii="Times New Roman" w:hAnsi="Times New Roman" w:cs="Times New Roman"/>
          <w:sz w:val="24"/>
          <w:szCs w:val="24"/>
        </w:rPr>
        <w:t>responsible for cooking meals for the entire household, and</w:t>
      </w:r>
      <w:r w:rsidR="00F17880">
        <w:rPr>
          <w:rFonts w:ascii="Times New Roman" w:hAnsi="Times New Roman" w:cs="Times New Roman"/>
          <w:sz w:val="24"/>
          <w:szCs w:val="24"/>
        </w:rPr>
        <w:t xml:space="preserve"> are </w:t>
      </w:r>
      <w:r>
        <w:rPr>
          <w:rFonts w:ascii="Times New Roman" w:hAnsi="Times New Roman" w:cs="Times New Roman"/>
          <w:sz w:val="24"/>
          <w:szCs w:val="24"/>
        </w:rPr>
        <w:t xml:space="preserve">expected to eat last, after men and children, often having to do with </w:t>
      </w:r>
      <w:r w:rsidR="0006564B" w:rsidRPr="00E40471">
        <w:rPr>
          <w:rFonts w:ascii="Times New Roman" w:hAnsi="Times New Roman" w:cs="Times New Roman"/>
          <w:sz w:val="24"/>
          <w:szCs w:val="24"/>
        </w:rPr>
        <w:t>poorer diets.</w:t>
      </w:r>
      <w:r w:rsidR="00CE0538">
        <w:rPr>
          <w:rFonts w:ascii="Times New Roman" w:hAnsi="Times New Roman" w:cs="Times New Roman"/>
          <w:sz w:val="24"/>
          <w:szCs w:val="24"/>
        </w:rPr>
        <w:t xml:space="preserve"> </w:t>
      </w:r>
    </w:p>
    <w:p w14:paraId="5ED9FCEE" w14:textId="77777777" w:rsidR="00CF6402" w:rsidRDefault="00864022"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The socio-economic scenario in India is now undergoing rapid change, with</w:t>
      </w:r>
      <w:r w:rsidR="009C3558">
        <w:rPr>
          <w:rFonts w:ascii="Times New Roman" w:hAnsi="Times New Roman" w:cs="Times New Roman"/>
          <w:sz w:val="24"/>
          <w:szCs w:val="24"/>
        </w:rPr>
        <w:t xml:space="preserve"> urbanization, rising wealth and education, and</w:t>
      </w:r>
      <w:r>
        <w:rPr>
          <w:rFonts w:ascii="Times New Roman" w:hAnsi="Times New Roman" w:cs="Times New Roman"/>
          <w:sz w:val="24"/>
          <w:szCs w:val="24"/>
        </w:rPr>
        <w:t xml:space="preserve"> more</w:t>
      </w:r>
      <w:r w:rsidR="009C3558">
        <w:rPr>
          <w:rFonts w:ascii="Times New Roman" w:hAnsi="Times New Roman" w:cs="Times New Roman"/>
          <w:sz w:val="24"/>
          <w:szCs w:val="24"/>
        </w:rPr>
        <w:t xml:space="preserve"> sedentary leisure and </w:t>
      </w:r>
      <w:r>
        <w:rPr>
          <w:rFonts w:ascii="Times New Roman" w:hAnsi="Times New Roman" w:cs="Times New Roman"/>
          <w:sz w:val="24"/>
          <w:szCs w:val="24"/>
        </w:rPr>
        <w:t>work</w:t>
      </w:r>
      <w:r w:rsidR="009C3558">
        <w:rPr>
          <w:rFonts w:ascii="Times New Roman" w:hAnsi="Times New Roman" w:cs="Times New Roman"/>
          <w:sz w:val="24"/>
          <w:szCs w:val="24"/>
        </w:rPr>
        <w:t xml:space="preserve"> </w:t>
      </w:r>
      <w:r w:rsidR="009C3558">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Dang","given":"Archana","non-dropping-particle":"","parse-names":false,"suffix":""},{"dropping-particle":"","family":"Meenakshi","given":"J.V.","non-dropping-particle":"","parse-names":false,"suffix":""}],"id":"ITEM-1","issued":{"date-parts":[["2017"]]},"title":"The Nutrition Transition and the Intra-Household Double Burden of Malnutrition in India","type":"report"},"uris":["http://www.mendeley.com/documents/?uuid=3cd6e4dc-3456-3e6d-87d8-8f3773657a2a"]},{"id":"ITEM-2","itemData":{"author":[{"dropping-particle":"","family":"Misra","given":"Anoop","non-dropping-particle":"","parse-names":false,"suffix":""},{"dropping-particle":"","family":"Singhal","given":"Neha","non-dropping-particle":"","parse-names":false,"suffix":""},{"dropping-particle":"","family":"Sivakumar","given":"Bhattiprolu","non-dropping-particle":"","parse-names":false,"suffix":""},{"dropping-particle":"","family":"Bhagat","given":"Namita","non-dropping-particle":"","parse-names":false,"suffix":""},{"dropping-particle":"","family":"Jaiswal","given":"Abhishek","non-dropping-particle":"","parse-names":false,"suffix":""},{"dropping-particle":"","family":"Khurana","given":"Lokesh","non-dropping-particle":"","parse-names":false,"suffix":""}],"container-title":"Journal of Diabetes","id":"ITEM-2","issue":"4","issued":{"date-parts":[["2011","12"]]},"page":"278-292","title":"Nutrition transition in India: Secular trends in dietary intake and their relationship to diet-related non-communicable diseases","type":"article-journal","volume":"3"},"uris":["http://www.mendeley.com/documents/?uuid=ff171aa3-b02c-3468-8dbe-593803876a68"]},{"id":"ITEM-3","itemData":{"author":[{"dropping-particle":"","family":"Popkin","given":"Barry M.","non-dropping-particle":"","parse-names":false,"suffix":""},{"dropping-particle":"","family":"Horton","given":"Susan","non-dropping-particle":"","parse-names":false,"suffix":""},{"dropping-particle":"","family":"Kim","given":"Soowon","non-dropping-particle":"","parse-names":false,"suffix":""},{"dropping-particle":"","family":"Mahal","given":"Ajay","non-dropping-particle":"","parse-names":false,"suffix":""},{"dropping-particle":"","family":"Shuigao","given":"Jin","non-dropping-particle":"","parse-names":false,"suffix":""}],"container-title":"Nutrition Reviews","id":"ITEM-3","issue":"12","issued":{"date-parts":[["2009","4","27"]]},"page":"379-390","title":"Trends in Diet, Nutritional Status, and Diet-related Noncommunicable Diseases in China and India: The Economic Costs of the Nutrition Transition","type":"article-journal","volume":"59"},"uris":["http://www.mendeley.com/documents/?uuid=cd95d1ad-5ff0-370d-a9cb-8fa4c0e7c79d"]}],"mendeley":{"formattedCitation":"(Dang &amp; Meenakshi, 2017; Misra et al., 2011; Popkin, Horton, Kim, Mahal, &amp; Shuigao, 2009)","plainTextFormattedCitation":"(Dang &amp; Meenakshi, 2017; Misra et al., 2011; Popkin, Horton, Kim, Mahal, &amp; Shuigao, 2009)","previouslyFormattedCitation":"(Dang &amp; Meenakshi, 2017; Misra et al., 2011; Popkin, Horton, Kim, Mahal, &amp; Shuigao, 2009)"},"properties":{"noteIndex":0},"schema":"https://github.com/citation-style-language/schema/raw/master/csl-citation.json"}</w:instrText>
      </w:r>
      <w:r w:rsidR="009C3558">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(Dang &amp; Meenakshi, 2017; Misra et al., 2011; Popkin, Horton, Kim, Mahal, &amp; Shuigao, 2009)</w:t>
      </w:r>
      <w:r w:rsidR="009C3558">
        <w:rPr>
          <w:rFonts w:ascii="Times New Roman" w:hAnsi="Times New Roman" w:cs="Times New Roman"/>
          <w:sz w:val="24"/>
          <w:szCs w:val="24"/>
        </w:rPr>
        <w:fldChar w:fldCharType="end"/>
      </w:r>
      <w:r w:rsidR="009C3558">
        <w:rPr>
          <w:rFonts w:ascii="Times New Roman" w:hAnsi="Times New Roman" w:cs="Times New Roman"/>
          <w:sz w:val="24"/>
          <w:szCs w:val="24"/>
        </w:rPr>
        <w:t xml:space="preserve">. </w:t>
      </w:r>
      <w:r w:rsidR="00CC371E">
        <w:rPr>
          <w:rFonts w:ascii="Times New Roman" w:hAnsi="Times New Roman" w:cs="Times New Roman"/>
          <w:sz w:val="24"/>
          <w:szCs w:val="24"/>
        </w:rPr>
        <w:t>M</w:t>
      </w:r>
      <w:r w:rsidR="009C3558">
        <w:rPr>
          <w:rFonts w:ascii="Times New Roman" w:hAnsi="Times New Roman" w:cs="Times New Roman"/>
          <w:sz w:val="24"/>
          <w:szCs w:val="24"/>
        </w:rPr>
        <w:t xml:space="preserve">any tasks </w:t>
      </w:r>
      <w:r w:rsidR="006736F7">
        <w:rPr>
          <w:rFonts w:ascii="Times New Roman" w:hAnsi="Times New Roman" w:cs="Times New Roman"/>
          <w:sz w:val="24"/>
          <w:szCs w:val="24"/>
        </w:rPr>
        <w:t xml:space="preserve">predominantly performed by women, </w:t>
      </w:r>
      <w:r w:rsidR="009C3558">
        <w:rPr>
          <w:rFonts w:ascii="Times New Roman" w:hAnsi="Times New Roman" w:cs="Times New Roman"/>
          <w:sz w:val="24"/>
          <w:szCs w:val="24"/>
        </w:rPr>
        <w:t xml:space="preserve">such as fetching water, washing clothes, and cooking for the family, have also become less labour intensive. There is simultaneously an increase in the availability of more obesogenic foods rich in saturated fats and sugar, </w:t>
      </w:r>
      <w:r w:rsidR="006736F7">
        <w:rPr>
          <w:rFonts w:ascii="Times New Roman" w:hAnsi="Times New Roman" w:cs="Times New Roman"/>
          <w:sz w:val="24"/>
          <w:szCs w:val="24"/>
        </w:rPr>
        <w:t>and</w:t>
      </w:r>
      <w:r w:rsidR="009C3558">
        <w:rPr>
          <w:rFonts w:ascii="Times New Roman" w:hAnsi="Times New Roman" w:cs="Times New Roman"/>
          <w:sz w:val="24"/>
          <w:szCs w:val="24"/>
        </w:rPr>
        <w:t xml:space="preserve"> the growth of restaurants and fast food joints </w:t>
      </w:r>
      <w:r w:rsidR="00CC328E">
        <w:rPr>
          <w:rFonts w:ascii="Times New Roman" w:hAnsi="Times New Roman" w:cs="Times New Roman"/>
          <w:sz w:val="24"/>
          <w:szCs w:val="24"/>
        </w:rPr>
        <w:fldChar w:fldCharType="begin" w:fldLock="1"/>
      </w:r>
      <w:r w:rsidR="00B16F86">
        <w:rPr>
          <w:rFonts w:ascii="Times New Roman" w:hAnsi="Times New Roman" w:cs="Times New Roman"/>
          <w:sz w:val="24"/>
          <w:szCs w:val="24"/>
        </w:rPr>
        <w:instrText>ADDIN CSL_CITATION {"citationItems":[{"id":"ITEM-1","itemData":{"DOI":"10.1177/0021909612472040","ISSN":"00219096","abstract":"A key feature of India's economic transformation has been a change in the nature of diets. There is a move away from inferior to superior foods and a substitution of traditional staples by primary food products, reflected in higher consumption of proteins, sugars, fats and vegetables. As part of this dietary transition, our analysis focuses on the pervasiveness of eating out and is based on a rich household survey for 2005. We broadly confirm the important role of urbanization, demographic changes, expansion of the middle class and its growing affluence on eating out. Since even more deprived sections are not immune to these evolving dietary patterns and given their limited access to medical care, health outcomes may well be grim. © The Author(s) 2013.","author":[{"dropping-particle":"","family":"Gaiha","given":"Raghav","non-dropping-particle":"","parse-names":false,"suffix":""},{"dropping-particle":"","family":"Jha","given":"Raghbendra","non-dropping-particle":"","parse-names":false,"suffix":""},{"dropping-particle":"","family":"Kulkarni","given":"Vani S.","non-dropping-particle":"","parse-names":false,"suffix":""}],"container-title":"Journal of Asian and African Studies","id":"ITEM-1","issue":"3","issued":{"date-parts":[["2013"]]},"page":"370-386","title":"How Pervasive is Eating Out in India?","type":"article-journal","volume":"48"},"uris":["http://www.mendeley.com/documents/?uuid=f8ccd732-8ae7-4d97-8262-53d831ea60c6"]},{"id":"ITEM-2","itemData":{"DOI":"10.1186/s12889-017-4598-8","ISBN":"1288901745988","ISSN":"14712458","abstract":"The food environment has been implicated as an underlying contributor to the global obesity epidemic. However, few studies have evaluated the relationship between the food environment, dietary intake, and overweight/obesity in low- and middle-income countries (LMICs). The aim of this study was to assess the association of full service and fast food restaurant density with dietary intake and overweight/obesity in Delhi, India. Data are from a cross-sectional, population-based study conducted in Delhi. Using multilevel cluster random sampling, 5364 participants were selected from 134 census enumeration blocks (CEBs). Geographic information system data were available for 131 CEBs (n = 5264) from a field survey conducted using hand-held global positioning system devices. The number of full service and fast food restaurants within a 1-km buffer of CEBs was recorded by trained staff using ArcGIS software, and participants were assigned to tertiles of full service and fast food restaurant density based on their resident CEB. Height and weight were measured using standardized procedures and overweight/obesity was defined as a BMI ≥25 kg/m2. The most common full service and fast food restaurants were Indian savory restaurants (57.2%) and Indian sweet shops (25.8%). Only 14.1% of full service and fast food restaurants were Western style. After adjustment for age, household income, education, and tobacco and alcohol use, participants in the highest tertile of full service and fast food restaurant density were less likely to consume fruit and more likely to consume refined grains compared to participants in the lowest tertile (both p &lt; 0.05). In unadjusted logistic regression models, participants in the highest versus lowest tertile of full service and fast food restaurant density were significantly more likely to be overweight/obese: odds ratio (95% confidence interval), 1.44 (1.24, 1.67). After adjustment for age, household income, and education, the effect was attenuated: 1.08 (0.92, 1.26). Results were consistent with further adjustment for tobacco and alcohol use, moderate physical activity, and owning a bicycle or motorized vehicle. Most full service and fast food restaurants were Indian, suggesting that the nutrition transition in this megacity may be better characterized by the large number of unhealthy Indian food outlets rather than the Western food outlets. Full service and fast food restaurant density in the residence area of adults in Delhi, India, was…","author":[{"dropping-particle":"","family":"Patel","given":"Opal","non-dropping-particle":"","parse-names":false,"suffix":""},{"dropping-particle":"","family":"Shahulhameed","given":"Safraj","non-dropping-particle":"","parse-names":false,"suffix":""},{"dropping-particle":"","family":"Shivashankar","given":"Roopa","non-dropping-particle":"","parse-names":false,"suffix":""},{"dropping-particle":"","family":"Tayyab","given":"Mohammad","non-dropping-particle":"","parse-names":false,"suffix":""},{"dropping-particle":"","family":"Rahman","given":"Atiqur","non-dropping-particle":"","parse-names":false,"suffix":""},{"dropping-particle":"","family":"Prabhakaran","given":"Dorairaj","non-dropping-particle":"","parse-names":false,"suffix":""},{"dropping-particle":"","family":"Tandon","given":"Nikhil","non-dropping-particle":"","parse-names":false,"suffix":""},{"dropping-particle":"","family":"Jaacks","given":"Lindsay M.","non-dropping-particle":"","parse-names":false,"suffix":""}],"container-title":"BMC Public Health","id":"ITEM-2","issue":"1","issued":{"date-parts":[["2017"]]},"page":"1-11","publisher":"BMC Public Health","title":"Association between full service and fast food restaurant density, dietary intake and overweight/obesity among adults in Delhi, India","type":"article-journal","volume":"18"},"uris":["http://www.mendeley.com/documents/?uuid=40d032ec-e8eb-4710-8d8d-468634d117b8"]}],"mendeley":{"formattedCitation":"(Gaiha, Jha, &amp; Kulkarni, 2013; Patel et al., 2017)","plainTextFormattedCitation":"(Gaiha, Jha, &amp; Kulkarni, 2013; Patel et al., 2017)","previouslyFormattedCitation":"(Gaiha, Jha, &amp; Kulkarni, 2013; Patel et al., 2017)"},"properties":{"noteIndex":0},"schema":"https://github.com/citation-style-language/schema/raw/master/csl-citation.json"}</w:instrText>
      </w:r>
      <w:r w:rsidR="00CC328E">
        <w:rPr>
          <w:rFonts w:ascii="Times New Roman" w:hAnsi="Times New Roman" w:cs="Times New Roman"/>
          <w:sz w:val="24"/>
          <w:szCs w:val="24"/>
        </w:rPr>
        <w:fldChar w:fldCharType="separate"/>
      </w:r>
      <w:r w:rsidR="00CC328E" w:rsidRPr="00CC328E">
        <w:rPr>
          <w:rFonts w:ascii="Times New Roman" w:hAnsi="Times New Roman" w:cs="Times New Roman"/>
          <w:noProof/>
          <w:sz w:val="24"/>
          <w:szCs w:val="24"/>
        </w:rPr>
        <w:t>(Gaiha, Jha, &amp; Kulkarni, 2013; Patel et al., 2017)</w:t>
      </w:r>
      <w:r w:rsidR="00CC328E">
        <w:rPr>
          <w:rFonts w:ascii="Times New Roman" w:hAnsi="Times New Roman" w:cs="Times New Roman"/>
          <w:sz w:val="24"/>
          <w:szCs w:val="24"/>
        </w:rPr>
        <w:fldChar w:fldCharType="end"/>
      </w:r>
      <w:r w:rsidR="009C3558">
        <w:rPr>
          <w:rFonts w:ascii="Times New Roman" w:hAnsi="Times New Roman" w:cs="Times New Roman"/>
          <w:sz w:val="24"/>
          <w:szCs w:val="24"/>
        </w:rPr>
        <w:t>.</w:t>
      </w:r>
      <w:r w:rsidR="006B243C">
        <w:rPr>
          <w:rFonts w:ascii="Times New Roman" w:hAnsi="Times New Roman" w:cs="Times New Roman"/>
          <w:sz w:val="24"/>
          <w:szCs w:val="24"/>
        </w:rPr>
        <w:t xml:space="preserve"> Packaged snacks (like chips and biscuits) are increasingly available even in more remote rural </w:t>
      </w:r>
      <w:r w:rsidR="001A2808">
        <w:rPr>
          <w:rFonts w:ascii="Times New Roman" w:hAnsi="Times New Roman" w:cs="Times New Roman"/>
          <w:sz w:val="24"/>
          <w:szCs w:val="24"/>
        </w:rPr>
        <w:t>locations</w:t>
      </w:r>
      <w:r w:rsidR="006B243C">
        <w:rPr>
          <w:rFonts w:ascii="Times New Roman" w:hAnsi="Times New Roman" w:cs="Times New Roman"/>
          <w:sz w:val="24"/>
          <w:szCs w:val="24"/>
        </w:rPr>
        <w:t>.</w:t>
      </w:r>
      <w:r w:rsidR="009C3558">
        <w:rPr>
          <w:rFonts w:ascii="Times New Roman" w:hAnsi="Times New Roman" w:cs="Times New Roman"/>
          <w:sz w:val="24"/>
          <w:szCs w:val="24"/>
        </w:rPr>
        <w:t xml:space="preserve"> </w:t>
      </w:r>
    </w:p>
    <w:p w14:paraId="6BC92CEC" w14:textId="2A8B80C7" w:rsidR="009C3558" w:rsidRDefault="00B65EA2"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9C3558">
        <w:rPr>
          <w:rFonts w:ascii="Times New Roman" w:hAnsi="Times New Roman" w:cs="Times New Roman"/>
          <w:sz w:val="24"/>
          <w:szCs w:val="24"/>
        </w:rPr>
        <w:t xml:space="preserve">e find that women </w:t>
      </w:r>
      <w:r w:rsidR="00DA42AB">
        <w:rPr>
          <w:rFonts w:ascii="Times New Roman" w:hAnsi="Times New Roman" w:cs="Times New Roman"/>
          <w:sz w:val="24"/>
          <w:szCs w:val="24"/>
        </w:rPr>
        <w:t>with</w:t>
      </w:r>
      <w:r w:rsidR="009C3558">
        <w:rPr>
          <w:rFonts w:ascii="Times New Roman" w:hAnsi="Times New Roman" w:cs="Times New Roman"/>
          <w:sz w:val="24"/>
          <w:szCs w:val="24"/>
        </w:rPr>
        <w:t xml:space="preserve"> higher intrahousehold status tend to have </w:t>
      </w:r>
      <w:r w:rsidR="00BB37F3">
        <w:rPr>
          <w:rFonts w:ascii="Times New Roman" w:hAnsi="Times New Roman" w:cs="Times New Roman"/>
          <w:sz w:val="24"/>
          <w:szCs w:val="24"/>
        </w:rPr>
        <w:t>higher</w:t>
      </w:r>
      <w:r w:rsidR="009C3558">
        <w:rPr>
          <w:rFonts w:ascii="Times New Roman" w:hAnsi="Times New Roman" w:cs="Times New Roman"/>
          <w:sz w:val="24"/>
          <w:szCs w:val="24"/>
        </w:rPr>
        <w:t xml:space="preserve"> leisure consumption and a </w:t>
      </w:r>
      <w:r w:rsidR="00BB37F3">
        <w:rPr>
          <w:rFonts w:ascii="Times New Roman" w:hAnsi="Times New Roman" w:cs="Times New Roman"/>
          <w:sz w:val="24"/>
          <w:szCs w:val="24"/>
        </w:rPr>
        <w:t>higher</w:t>
      </w:r>
      <w:r w:rsidR="009C3558">
        <w:rPr>
          <w:rFonts w:ascii="Times New Roman" w:hAnsi="Times New Roman" w:cs="Times New Roman"/>
          <w:sz w:val="24"/>
          <w:szCs w:val="24"/>
        </w:rPr>
        <w:t xml:space="preserve"> likelihood of eating paid meals outside of home/in restaurants</w:t>
      </w:r>
      <w:r w:rsidR="00DA42AB">
        <w:rPr>
          <w:rFonts w:ascii="Times New Roman" w:hAnsi="Times New Roman" w:cs="Times New Roman"/>
          <w:sz w:val="24"/>
          <w:szCs w:val="24"/>
        </w:rPr>
        <w:t xml:space="preserve"> compared to women w</w:t>
      </w:r>
      <w:r w:rsidR="008A5618">
        <w:rPr>
          <w:rFonts w:ascii="Times New Roman" w:hAnsi="Times New Roman" w:cs="Times New Roman"/>
          <w:sz w:val="24"/>
          <w:szCs w:val="24"/>
        </w:rPr>
        <w:t>ith</w:t>
      </w:r>
      <w:r w:rsidR="00DA42AB">
        <w:rPr>
          <w:rFonts w:ascii="Times New Roman" w:hAnsi="Times New Roman" w:cs="Times New Roman"/>
          <w:sz w:val="24"/>
          <w:szCs w:val="24"/>
        </w:rPr>
        <w:t xml:space="preserve"> lower intrahousehold status.</w:t>
      </w:r>
      <w:r w:rsidR="00395F34">
        <w:rPr>
          <w:rFonts w:ascii="Times New Roman" w:hAnsi="Times New Roman" w:cs="Times New Roman"/>
          <w:sz w:val="24"/>
          <w:szCs w:val="24"/>
        </w:rPr>
        <w:t xml:space="preserve"> These are two of the possible mechanisms via which status increase</w:t>
      </w:r>
      <w:r w:rsidR="005649F7">
        <w:rPr>
          <w:rFonts w:ascii="Times New Roman" w:hAnsi="Times New Roman" w:cs="Times New Roman"/>
          <w:sz w:val="24"/>
          <w:szCs w:val="24"/>
        </w:rPr>
        <w:t>s</w:t>
      </w:r>
      <w:r w:rsidR="00395F34">
        <w:rPr>
          <w:rFonts w:ascii="Times New Roman" w:hAnsi="Times New Roman" w:cs="Times New Roman"/>
          <w:sz w:val="24"/>
          <w:szCs w:val="24"/>
        </w:rPr>
        <w:t xml:space="preserve"> BMI and the propensity for overweight/obesity among women</w:t>
      </w:r>
      <w:r w:rsidR="0010624F">
        <w:rPr>
          <w:rFonts w:ascii="Times New Roman" w:hAnsi="Times New Roman" w:cs="Times New Roman"/>
          <w:sz w:val="24"/>
          <w:szCs w:val="24"/>
        </w:rPr>
        <w:t xml:space="preserve"> in India</w:t>
      </w:r>
      <w:r w:rsidR="00395F34">
        <w:rPr>
          <w:rFonts w:ascii="Times New Roman" w:hAnsi="Times New Roman" w:cs="Times New Roman"/>
          <w:sz w:val="24"/>
          <w:szCs w:val="24"/>
        </w:rPr>
        <w:t>.</w:t>
      </w:r>
      <w:r w:rsidR="0010624F">
        <w:rPr>
          <w:rStyle w:val="FootnoteReference"/>
          <w:rFonts w:ascii="Times New Roman" w:hAnsi="Times New Roman" w:cs="Times New Roman"/>
          <w:sz w:val="24"/>
          <w:szCs w:val="24"/>
        </w:rPr>
        <w:footnoteReference w:id="2"/>
      </w:r>
      <w:r w:rsidR="0010624F">
        <w:rPr>
          <w:rFonts w:ascii="Times New Roman" w:hAnsi="Times New Roman" w:cs="Times New Roman"/>
          <w:sz w:val="24"/>
          <w:szCs w:val="24"/>
        </w:rPr>
        <w:t xml:space="preserve"> </w:t>
      </w:r>
    </w:p>
    <w:p w14:paraId="1FCD3A3F" w14:textId="77777777" w:rsidR="009C3558" w:rsidRDefault="009C3558" w:rsidP="009C3558">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Our paper contributes to two sets of literature – the literature on the impact of women’s intrahousehold status on their health and wellbeing, and the literature on overweight and obesity. </w:t>
      </w:r>
      <w:r w:rsidR="00095E3A">
        <w:rPr>
          <w:rFonts w:ascii="Times New Roman" w:hAnsi="Times New Roman" w:cs="Times New Roman"/>
          <w:sz w:val="24"/>
          <w:szCs w:val="24"/>
        </w:rPr>
        <w:t>Notably, we</w:t>
      </w:r>
      <w:r>
        <w:rPr>
          <w:rFonts w:ascii="Times New Roman" w:hAnsi="Times New Roman" w:cs="Times New Roman"/>
          <w:sz w:val="24"/>
          <w:szCs w:val="24"/>
        </w:rPr>
        <w:t xml:space="preserve"> depart from the commonly </w:t>
      </w:r>
      <w:r w:rsidR="00AF166B">
        <w:rPr>
          <w:rFonts w:ascii="Times New Roman" w:hAnsi="Times New Roman" w:cs="Times New Roman"/>
          <w:sz w:val="24"/>
          <w:szCs w:val="24"/>
        </w:rPr>
        <w:t>believed</w:t>
      </w:r>
      <w:r>
        <w:rPr>
          <w:rFonts w:ascii="Times New Roman" w:hAnsi="Times New Roman" w:cs="Times New Roman"/>
          <w:sz w:val="24"/>
          <w:szCs w:val="24"/>
        </w:rPr>
        <w:t xml:space="preserve"> notion that the positive relationship between status and BMI is necessarily a desirable one</w:t>
      </w:r>
      <w:r w:rsidR="00C41162">
        <w:rPr>
          <w:rFonts w:ascii="Times New Roman" w:hAnsi="Times New Roman" w:cs="Times New Roman"/>
          <w:sz w:val="24"/>
          <w:szCs w:val="24"/>
        </w:rPr>
        <w:t>.</w:t>
      </w:r>
      <w:r w:rsidR="00E04A00">
        <w:rPr>
          <w:rFonts w:ascii="Times New Roman" w:hAnsi="Times New Roman" w:cs="Times New Roman"/>
          <w:sz w:val="24"/>
          <w:szCs w:val="24"/>
        </w:rPr>
        <w:t xml:space="preserve"> </w:t>
      </w:r>
      <w:r>
        <w:rPr>
          <w:rFonts w:ascii="Times New Roman" w:hAnsi="Times New Roman" w:cs="Times New Roman"/>
          <w:sz w:val="24"/>
          <w:szCs w:val="24"/>
        </w:rPr>
        <w:t xml:space="preserve"> </w:t>
      </w:r>
      <w:r w:rsidR="00183206">
        <w:rPr>
          <w:rFonts w:ascii="Times New Roman" w:hAnsi="Times New Roman" w:cs="Times New Roman"/>
          <w:sz w:val="24"/>
          <w:szCs w:val="24"/>
        </w:rPr>
        <w:t xml:space="preserve">We also </w:t>
      </w:r>
      <w:r>
        <w:rPr>
          <w:rFonts w:ascii="Times New Roman" w:hAnsi="Times New Roman" w:cs="Times New Roman"/>
          <w:sz w:val="24"/>
          <w:szCs w:val="24"/>
        </w:rPr>
        <w:t xml:space="preserve">show that improved </w:t>
      </w:r>
      <w:r>
        <w:rPr>
          <w:rFonts w:ascii="Times New Roman" w:hAnsi="Times New Roman" w:cs="Times New Roman"/>
          <w:sz w:val="24"/>
          <w:szCs w:val="24"/>
        </w:rPr>
        <w:lastRenderedPageBreak/>
        <w:t>intrahousehold status is associated with sedentary behaviours and unhealthy dietary habits</w:t>
      </w:r>
      <w:r w:rsidR="00EC08B1">
        <w:rPr>
          <w:rFonts w:ascii="Times New Roman" w:hAnsi="Times New Roman" w:cs="Times New Roman"/>
          <w:sz w:val="24"/>
          <w:szCs w:val="24"/>
        </w:rPr>
        <w:t xml:space="preserve"> among women</w:t>
      </w:r>
      <w:r w:rsidR="00183206">
        <w:rPr>
          <w:rFonts w:ascii="Times New Roman" w:hAnsi="Times New Roman" w:cs="Times New Roman"/>
          <w:sz w:val="24"/>
          <w:szCs w:val="24"/>
        </w:rPr>
        <w:t>.</w:t>
      </w:r>
    </w:p>
    <w:p w14:paraId="1F403491" w14:textId="7A2D2733"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In an obesogenic environment, characterized by a high consumption of leisure, sedentary jobs, and processed and packaged foods,</w:t>
      </w:r>
      <w:r w:rsidR="00DE6D7A">
        <w:rPr>
          <w:rFonts w:ascii="Times New Roman" w:hAnsi="Times New Roman" w:cs="Times New Roman"/>
          <w:sz w:val="24"/>
          <w:szCs w:val="24"/>
        </w:rPr>
        <w:t xml:space="preserve"> it seems that</w:t>
      </w:r>
      <w:r>
        <w:rPr>
          <w:rFonts w:ascii="Times New Roman" w:hAnsi="Times New Roman" w:cs="Times New Roman"/>
          <w:sz w:val="24"/>
          <w:szCs w:val="24"/>
        </w:rPr>
        <w:t xml:space="preserve"> </w:t>
      </w:r>
      <w:r w:rsidR="00C43F7D">
        <w:rPr>
          <w:rFonts w:ascii="Times New Roman" w:hAnsi="Times New Roman" w:cs="Times New Roman"/>
          <w:sz w:val="24"/>
          <w:szCs w:val="24"/>
        </w:rPr>
        <w:t xml:space="preserve">more </w:t>
      </w:r>
      <w:r>
        <w:rPr>
          <w:rFonts w:ascii="Times New Roman" w:hAnsi="Times New Roman" w:cs="Times New Roman"/>
          <w:sz w:val="24"/>
          <w:szCs w:val="24"/>
        </w:rPr>
        <w:t>empowered women</w:t>
      </w:r>
      <w:r w:rsidR="00DE6D7A">
        <w:rPr>
          <w:rFonts w:ascii="Times New Roman" w:hAnsi="Times New Roman" w:cs="Times New Roman"/>
          <w:sz w:val="24"/>
          <w:szCs w:val="24"/>
        </w:rPr>
        <w:t xml:space="preserve"> </w:t>
      </w:r>
      <w:r w:rsidR="00CF2A00">
        <w:rPr>
          <w:rFonts w:ascii="Times New Roman" w:hAnsi="Times New Roman" w:cs="Times New Roman"/>
          <w:sz w:val="24"/>
          <w:szCs w:val="24"/>
        </w:rPr>
        <w:t xml:space="preserve">are </w:t>
      </w:r>
      <w:r w:rsidR="00CE0538">
        <w:rPr>
          <w:rFonts w:ascii="Times New Roman" w:hAnsi="Times New Roman" w:cs="Times New Roman"/>
          <w:sz w:val="24"/>
          <w:szCs w:val="24"/>
        </w:rPr>
        <w:t xml:space="preserve">not necessarily </w:t>
      </w:r>
      <w:r>
        <w:rPr>
          <w:rFonts w:ascii="Times New Roman" w:hAnsi="Times New Roman" w:cs="Times New Roman"/>
          <w:sz w:val="24"/>
          <w:szCs w:val="24"/>
        </w:rPr>
        <w:t>mak</w:t>
      </w:r>
      <w:r w:rsidR="00DE6D7A">
        <w:rPr>
          <w:rFonts w:ascii="Times New Roman" w:hAnsi="Times New Roman" w:cs="Times New Roman"/>
          <w:sz w:val="24"/>
          <w:szCs w:val="24"/>
        </w:rPr>
        <w:t>ing</w:t>
      </w:r>
      <w:r>
        <w:rPr>
          <w:rFonts w:ascii="Times New Roman" w:hAnsi="Times New Roman" w:cs="Times New Roman"/>
          <w:sz w:val="24"/>
          <w:szCs w:val="24"/>
        </w:rPr>
        <w:t xml:space="preserve"> choices that are good for their health. </w:t>
      </w:r>
      <w:r w:rsidR="00E04A00">
        <w:rPr>
          <w:rFonts w:ascii="Times New Roman" w:hAnsi="Times New Roman" w:cs="Times New Roman"/>
          <w:sz w:val="24"/>
          <w:szCs w:val="24"/>
        </w:rPr>
        <w:t>Our paper shows that h</w:t>
      </w:r>
      <w:r>
        <w:rPr>
          <w:rFonts w:ascii="Times New Roman" w:hAnsi="Times New Roman" w:cs="Times New Roman"/>
          <w:sz w:val="24"/>
          <w:szCs w:val="24"/>
        </w:rPr>
        <w:t>igh</w:t>
      </w:r>
      <w:r w:rsidR="007A7C88">
        <w:rPr>
          <w:rFonts w:ascii="Times New Roman" w:hAnsi="Times New Roman" w:cs="Times New Roman"/>
          <w:sz w:val="24"/>
          <w:szCs w:val="24"/>
        </w:rPr>
        <w:t>er</w:t>
      </w:r>
      <w:r>
        <w:rPr>
          <w:rFonts w:ascii="Times New Roman" w:hAnsi="Times New Roman" w:cs="Times New Roman"/>
          <w:sz w:val="24"/>
          <w:szCs w:val="24"/>
        </w:rPr>
        <w:t xml:space="preserve"> BMI seems to have become </w:t>
      </w:r>
      <w:r w:rsidR="00087B34">
        <w:rPr>
          <w:rFonts w:ascii="Times New Roman" w:hAnsi="Times New Roman" w:cs="Times New Roman"/>
          <w:sz w:val="24"/>
          <w:szCs w:val="24"/>
        </w:rPr>
        <w:t>a</w:t>
      </w:r>
      <w:r>
        <w:rPr>
          <w:rFonts w:ascii="Times New Roman" w:hAnsi="Times New Roman" w:cs="Times New Roman"/>
          <w:sz w:val="24"/>
          <w:szCs w:val="24"/>
        </w:rPr>
        <w:t xml:space="preserve"> penalty </w:t>
      </w:r>
      <w:r w:rsidR="00CE0538">
        <w:rPr>
          <w:rFonts w:ascii="Times New Roman" w:hAnsi="Times New Roman" w:cs="Times New Roman"/>
          <w:sz w:val="24"/>
          <w:szCs w:val="24"/>
        </w:rPr>
        <w:t xml:space="preserve">or a collateral loss </w:t>
      </w:r>
      <w:r>
        <w:rPr>
          <w:rFonts w:ascii="Times New Roman" w:hAnsi="Times New Roman" w:cs="Times New Roman"/>
          <w:sz w:val="24"/>
          <w:szCs w:val="24"/>
        </w:rPr>
        <w:t>for</w:t>
      </w:r>
      <w:r w:rsidR="00255619">
        <w:rPr>
          <w:rFonts w:ascii="Times New Roman" w:hAnsi="Times New Roman" w:cs="Times New Roman"/>
          <w:sz w:val="24"/>
          <w:szCs w:val="24"/>
        </w:rPr>
        <w:t xml:space="preserve"> higher</w:t>
      </w:r>
      <w:r>
        <w:rPr>
          <w:rFonts w:ascii="Times New Roman" w:hAnsi="Times New Roman" w:cs="Times New Roman"/>
          <w:sz w:val="24"/>
          <w:szCs w:val="24"/>
        </w:rPr>
        <w:t xml:space="preserve"> </w:t>
      </w:r>
      <w:r w:rsidR="00CF2A00">
        <w:rPr>
          <w:rFonts w:ascii="Times New Roman" w:hAnsi="Times New Roman" w:cs="Times New Roman"/>
          <w:sz w:val="24"/>
          <w:szCs w:val="24"/>
        </w:rPr>
        <w:t xml:space="preserve">intrahousehold </w:t>
      </w:r>
      <w:r>
        <w:rPr>
          <w:rFonts w:ascii="Times New Roman" w:hAnsi="Times New Roman" w:cs="Times New Roman"/>
          <w:sz w:val="24"/>
          <w:szCs w:val="24"/>
        </w:rPr>
        <w:t xml:space="preserve">status. A higher than normal BMI is not desirable for women </w:t>
      </w:r>
      <w:r w:rsidR="007A42CD">
        <w:rPr>
          <w:rFonts w:ascii="Times New Roman" w:hAnsi="Times New Roman" w:cs="Times New Roman"/>
          <w:sz w:val="24"/>
          <w:szCs w:val="24"/>
        </w:rPr>
        <w:t>as</w:t>
      </w:r>
      <w:r w:rsidR="008D2CE7">
        <w:rPr>
          <w:rFonts w:ascii="Times New Roman" w:hAnsi="Times New Roman" w:cs="Times New Roman"/>
          <w:sz w:val="24"/>
          <w:szCs w:val="24"/>
        </w:rPr>
        <w:t xml:space="preserve"> it puts them </w:t>
      </w:r>
      <w:r>
        <w:rPr>
          <w:rFonts w:ascii="Times New Roman" w:hAnsi="Times New Roman" w:cs="Times New Roman"/>
          <w:sz w:val="24"/>
          <w:szCs w:val="24"/>
        </w:rPr>
        <w:t>at a greater risk for</w:t>
      </w:r>
      <w:r w:rsidR="00DD1DD8">
        <w:rPr>
          <w:rFonts w:ascii="Times New Roman" w:hAnsi="Times New Roman" w:cs="Times New Roman"/>
          <w:sz w:val="24"/>
          <w:szCs w:val="24"/>
        </w:rPr>
        <w:t xml:space="preserve"> </w:t>
      </w:r>
      <w:r>
        <w:rPr>
          <w:rFonts w:ascii="Times New Roman" w:hAnsi="Times New Roman" w:cs="Times New Roman"/>
          <w:sz w:val="24"/>
          <w:szCs w:val="24"/>
        </w:rPr>
        <w:t>obesity-related non-communicable diseases like diabetes</w:t>
      </w:r>
      <w:r w:rsidR="007412AD">
        <w:rPr>
          <w:rFonts w:ascii="Times New Roman" w:hAnsi="Times New Roman" w:cs="Times New Roman"/>
          <w:sz w:val="24"/>
          <w:szCs w:val="24"/>
        </w:rPr>
        <w:t xml:space="preserve"> and</w:t>
      </w:r>
      <w:r w:rsidR="00DD1DD8">
        <w:rPr>
          <w:rFonts w:ascii="Times New Roman" w:hAnsi="Times New Roman" w:cs="Times New Roman"/>
          <w:sz w:val="24"/>
          <w:szCs w:val="24"/>
        </w:rPr>
        <w:t xml:space="preserve"> </w:t>
      </w:r>
      <w:r>
        <w:rPr>
          <w:rFonts w:ascii="Times New Roman" w:hAnsi="Times New Roman" w:cs="Times New Roman"/>
          <w:sz w:val="24"/>
          <w:szCs w:val="24"/>
        </w:rPr>
        <w:t xml:space="preserve">hypertension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{"citationItems":[{"id":"ITEM-1","itemData":{"author":[{"dropping-particle":"","family":"Solomon","given":"C G","non-dropping-particle":"","parse-names":false,"suffix":""},{"dropping-particle":"","family":"Manson","given":"J E","non-dropping-particle":"","parse-names":false,"suffix":""}],"container-title":"The American Journal of Clinical Nutrition","id":"ITEM-1","issue":"4","issued":{"date-parts":[["1997","10","1"]]},"page":"1044S-1050S","title":"Obesity and mortality: a review of the epidemiologic data","type":"article-journal","volume":"66"},"uris":["http://www.mendeley.com/documents/?uuid=5c1e5d34-7ea3-322a-8236-ebe9a17adf24"]},{"id":"ITEM-2","itemData":{"DOI":"10.1038/sj.ejcn.1600931","ISBN":"0954-3007 (Print)","ISSN":"09543007","PMID":"10713748","abstract":"Objectives: The key objective was to estimate obesity (! 30 kgam 2) in women 15±49 y from developing countries. A second objective was to study how obesity varies by educational level and by residence in urban and rural areas. A third objective was to investigate how national incomes shape the relationship between obesity and eduction or residence. Design: The analyses use cross-sectional data from nationally representative surveys from developing countries carried out in the last decade. Most of the surveys were Demographic Health Surveys (DHS). Data from a survey from the USA are used for comparison. Setting:The 39 surveys used come from 38 developing countries and the USA. Subjects: A total of 147,938 non-pregnant women 15±49 y were included in the analyses. Results: The percentage of obese women was 0.1% in South Asia, 2.5% in Sub-Saharan Africa, 9.6% in Latin America and the Caribbean, 15.4% in Central Eastern EuropeaCommonwealth of Independent States (CEEaCIS), 17.2% in the Middle East and North Africa, and 20.7% in the USA. Levels of obesity in countries increased sharply until a gross national product of US$1500 per capita (1992 values) was reached and changed little thereafter. In very poor countries, such as in Sub-Saharan Africa, obesity levels were greatly concentrated among urban and higher educated women. In more developed countries, such as those in Latin America and the CEEaCIS regions, obesity levels were more equally distributed in the general population. Conclusions: Based on the analyses presented and on a review of the literature, it is concluded that obesity among women is a serious problem in Latin America and the Caribbean, the Middle East and North Africa, and the CEEaCIS region. Obesity is less of a concern in Sub-Saharan Africa, China and South Asia. Obesity levels increased over time in most of the limited number of countries with data, but at varying rates. Rising national incomes in developing countries and increaseWesternization' will most likely lead to increased levels of obesity in the future.","author":[{"dropping-particle":"","family":"Martorell","given":"R","non-dropping-particle":"","parse-names":false,"suffix":""},{"dropping-particle":"","family":"Khan","given":"L Kettel","non-dropping-particle":"","parse-names":false,"suffix":""},{"dropping-particle":"","family":"Hughes","given":"Ml","non-dropping-particle":"","parse-names":false,"suffix":""},{"dropping-particle":"","family":"Grummer-Strawn","given":"Lm","non-dropping-particle":"","parse-names":false,"suffix":""}],"container-title":"European Journal of Clinical Nutrition","id":"ITEM-2","issued":{"date-parts":[["2000"]]},"page":"247-252","title":"Obesity in women from developing countries","type":"article-journal","volume":"54"},"uris":["http://www.mendeley.com/documents/?uuid=f152a05e-4862-41b1-ab41-1d0f1f8c012a"]}],"mendeley":{"formattedCitation":"(Martorell et al., 2000; Solomon &amp; Manson, 1997)","plainTextFormattedCitation":"(Martorell et al., 2000; Solomon &amp; Manson, 1997)","previouslyFormattedCitation":"(Martorell et al., 2000; Solomon &amp; Manson, 1997)"},"properties":{"noteIndex":0},"schema":"https://github.com/citation-style-language/schema/raw/master/csl-citation.json"}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(Martorell et al., 2000; Solomon &amp; Manson, 1997)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D2D628F" w14:textId="3145DB45" w:rsidR="009C3558" w:rsidRPr="00E40471" w:rsidRDefault="00574C58" w:rsidP="009C3558">
      <w:pPr>
        <w:spacing w:line="360" w:lineRule="auto"/>
        <w:jc w:val="both"/>
        <w:rPr>
          <w:rFonts w:ascii="Times New Roman" w:hAnsi="Times New Roman" w:cs="Times New Roman"/>
          <w:b/>
          <w:bCs/>
          <w:sz w:val="24"/>
          <w:szCs w:val="24"/>
          <w:highlight w:val="yellow"/>
        </w:rPr>
      </w:pPr>
      <w:r>
        <w:rPr>
          <w:rFonts w:ascii="Times New Roman" w:hAnsi="Times New Roman" w:cs="Times New Roman"/>
          <w:sz w:val="24"/>
          <w:szCs w:val="24"/>
        </w:rPr>
        <w:t>We believe that it</w:t>
      </w:r>
      <w:r w:rsidR="009C3558">
        <w:rPr>
          <w:rFonts w:ascii="Times New Roman" w:hAnsi="Times New Roman" w:cs="Times New Roman"/>
          <w:sz w:val="24"/>
          <w:szCs w:val="24"/>
        </w:rPr>
        <w:t xml:space="preserve"> is necessary to curb the growth of the obesogenic environment</w:t>
      </w:r>
      <w:r w:rsidR="00E935CC">
        <w:rPr>
          <w:rFonts w:ascii="Times New Roman" w:hAnsi="Times New Roman" w:cs="Times New Roman"/>
          <w:sz w:val="24"/>
          <w:szCs w:val="24"/>
        </w:rPr>
        <w:t xml:space="preserve"> in India</w:t>
      </w:r>
      <w:r w:rsidR="00395154">
        <w:rPr>
          <w:rFonts w:ascii="Times New Roman" w:hAnsi="Times New Roman" w:cs="Times New Roman"/>
          <w:sz w:val="24"/>
          <w:szCs w:val="24"/>
        </w:rPr>
        <w:t xml:space="preserve">, without which, </w:t>
      </w:r>
      <w:r w:rsidR="001564EA">
        <w:rPr>
          <w:rFonts w:ascii="Times New Roman" w:hAnsi="Times New Roman" w:cs="Times New Roman"/>
          <w:sz w:val="24"/>
          <w:szCs w:val="24"/>
        </w:rPr>
        <w:t>improving</w:t>
      </w:r>
      <w:r w:rsidR="005A7965">
        <w:rPr>
          <w:rFonts w:ascii="Times New Roman" w:hAnsi="Times New Roman" w:cs="Times New Roman"/>
          <w:sz w:val="24"/>
          <w:szCs w:val="24"/>
        </w:rPr>
        <w:t xml:space="preserve"> status</w:t>
      </w:r>
      <w:r w:rsidR="001564EA">
        <w:rPr>
          <w:rFonts w:ascii="Times New Roman" w:hAnsi="Times New Roman" w:cs="Times New Roman"/>
          <w:sz w:val="24"/>
          <w:szCs w:val="24"/>
        </w:rPr>
        <w:t xml:space="preserve"> can</w:t>
      </w:r>
      <w:r w:rsidR="005A7965">
        <w:rPr>
          <w:rFonts w:ascii="Times New Roman" w:hAnsi="Times New Roman" w:cs="Times New Roman"/>
          <w:sz w:val="24"/>
          <w:szCs w:val="24"/>
        </w:rPr>
        <w:t xml:space="preserve"> </w:t>
      </w:r>
      <w:r w:rsidR="00A37A0B">
        <w:rPr>
          <w:rFonts w:ascii="Times New Roman" w:hAnsi="Times New Roman" w:cs="Times New Roman"/>
          <w:sz w:val="24"/>
          <w:szCs w:val="24"/>
        </w:rPr>
        <w:t>worsen</w:t>
      </w:r>
      <w:r w:rsidR="005A7965">
        <w:rPr>
          <w:rFonts w:ascii="Times New Roman" w:hAnsi="Times New Roman" w:cs="Times New Roman"/>
          <w:sz w:val="24"/>
          <w:szCs w:val="24"/>
        </w:rPr>
        <w:t xml:space="preserve"> </w:t>
      </w:r>
      <w:r w:rsidR="00AF1C6F">
        <w:rPr>
          <w:rFonts w:ascii="Times New Roman" w:hAnsi="Times New Roman" w:cs="Times New Roman"/>
          <w:sz w:val="24"/>
          <w:szCs w:val="24"/>
        </w:rPr>
        <w:t xml:space="preserve">the </w:t>
      </w:r>
      <w:r w:rsidR="005A7965">
        <w:rPr>
          <w:rFonts w:ascii="Times New Roman" w:hAnsi="Times New Roman" w:cs="Times New Roman"/>
          <w:sz w:val="24"/>
          <w:szCs w:val="24"/>
        </w:rPr>
        <w:t>health and wellbeing</w:t>
      </w:r>
      <w:r w:rsidR="00F626DC">
        <w:rPr>
          <w:rFonts w:ascii="Times New Roman" w:hAnsi="Times New Roman" w:cs="Times New Roman"/>
          <w:sz w:val="24"/>
          <w:szCs w:val="24"/>
        </w:rPr>
        <w:t xml:space="preserve"> </w:t>
      </w:r>
      <w:r w:rsidR="00AF1C6F">
        <w:rPr>
          <w:rFonts w:ascii="Times New Roman" w:hAnsi="Times New Roman" w:cs="Times New Roman"/>
          <w:sz w:val="24"/>
          <w:szCs w:val="24"/>
        </w:rPr>
        <w:t xml:space="preserve">of </w:t>
      </w:r>
      <w:r w:rsidR="00F626DC">
        <w:rPr>
          <w:rFonts w:ascii="Times New Roman" w:hAnsi="Times New Roman" w:cs="Times New Roman"/>
          <w:sz w:val="24"/>
          <w:szCs w:val="24"/>
        </w:rPr>
        <w:t>a significant proportion of women</w:t>
      </w:r>
      <w:r w:rsidR="009C3558">
        <w:rPr>
          <w:rFonts w:ascii="Times New Roman" w:hAnsi="Times New Roman" w:cs="Times New Roman"/>
          <w:sz w:val="24"/>
          <w:szCs w:val="24"/>
        </w:rPr>
        <w:t xml:space="preserve">. At present, health policy </w:t>
      </w:r>
      <w:r w:rsidR="00EC391F">
        <w:rPr>
          <w:rFonts w:ascii="Times New Roman" w:hAnsi="Times New Roman" w:cs="Times New Roman"/>
          <w:sz w:val="24"/>
          <w:szCs w:val="24"/>
        </w:rPr>
        <w:t xml:space="preserve">in India </w:t>
      </w:r>
      <w:r w:rsidR="009C3558">
        <w:rPr>
          <w:rFonts w:ascii="Times New Roman" w:hAnsi="Times New Roman" w:cs="Times New Roman"/>
          <w:sz w:val="24"/>
          <w:szCs w:val="24"/>
        </w:rPr>
        <w:t>is</w:t>
      </w:r>
      <w:r w:rsidR="009F5D5F">
        <w:rPr>
          <w:rFonts w:ascii="Times New Roman" w:hAnsi="Times New Roman" w:cs="Times New Roman"/>
          <w:sz w:val="24"/>
          <w:szCs w:val="24"/>
        </w:rPr>
        <w:t xml:space="preserve"> </w:t>
      </w:r>
      <w:r w:rsidR="009C3558">
        <w:rPr>
          <w:rFonts w:ascii="Times New Roman" w:hAnsi="Times New Roman" w:cs="Times New Roman"/>
          <w:sz w:val="24"/>
          <w:szCs w:val="24"/>
        </w:rPr>
        <w:t>focussed on</w:t>
      </w:r>
      <w:r w:rsidR="00AF1B95">
        <w:rPr>
          <w:rFonts w:ascii="Times New Roman" w:hAnsi="Times New Roman" w:cs="Times New Roman"/>
          <w:sz w:val="24"/>
          <w:szCs w:val="24"/>
        </w:rPr>
        <w:t xml:space="preserve"> the problem of</w:t>
      </w:r>
      <w:r w:rsidR="009C3558">
        <w:rPr>
          <w:rFonts w:ascii="Times New Roman" w:hAnsi="Times New Roman" w:cs="Times New Roman"/>
          <w:sz w:val="24"/>
          <w:szCs w:val="24"/>
        </w:rPr>
        <w:t xml:space="preserve"> undern</w:t>
      </w:r>
      <w:r w:rsidR="00AF1B95">
        <w:rPr>
          <w:rFonts w:ascii="Times New Roman" w:hAnsi="Times New Roman" w:cs="Times New Roman"/>
          <w:sz w:val="24"/>
          <w:szCs w:val="24"/>
        </w:rPr>
        <w:t>utrition</w:t>
      </w:r>
      <w:r w:rsidR="009C3558">
        <w:rPr>
          <w:rFonts w:ascii="Times New Roman" w:hAnsi="Times New Roman" w:cs="Times New Roman"/>
          <w:sz w:val="24"/>
          <w:szCs w:val="24"/>
        </w:rPr>
        <w:t xml:space="preserve">, but the rising burden of overweight and obesity among women </w:t>
      </w:r>
      <w:r w:rsidR="00055084">
        <w:rPr>
          <w:rFonts w:ascii="Times New Roman" w:hAnsi="Times New Roman" w:cs="Times New Roman"/>
          <w:sz w:val="24"/>
          <w:szCs w:val="24"/>
        </w:rPr>
        <w:t xml:space="preserve">also requires our </w:t>
      </w:r>
      <w:r w:rsidR="009C3558">
        <w:rPr>
          <w:rFonts w:ascii="Times New Roman" w:hAnsi="Times New Roman" w:cs="Times New Roman"/>
          <w:sz w:val="24"/>
          <w:szCs w:val="24"/>
        </w:rPr>
        <w:t xml:space="preserve"> </w:t>
      </w:r>
      <w:r w:rsidR="006A6BA0">
        <w:rPr>
          <w:rFonts w:ascii="Times New Roman" w:hAnsi="Times New Roman" w:cs="Times New Roman"/>
          <w:sz w:val="24"/>
          <w:szCs w:val="24"/>
        </w:rPr>
        <w:t>attention.</w:t>
      </w:r>
    </w:p>
    <w:p w14:paraId="512AF784" w14:textId="77777777" w:rsidR="009C3558" w:rsidRDefault="009C3558" w:rsidP="009C3558">
      <w:pPr>
        <w:spacing w:line="360" w:lineRule="auto"/>
        <w:jc w:val="both"/>
        <w:rPr>
          <w:rFonts w:ascii="Times New Roman" w:hAnsi="Times New Roman" w:cs="Times New Roman"/>
          <w:sz w:val="24"/>
          <w:szCs w:val="24"/>
        </w:rPr>
      </w:pPr>
      <w:r w:rsidRPr="00872FA2">
        <w:rPr>
          <w:rFonts w:ascii="Times New Roman" w:hAnsi="Times New Roman" w:cs="Times New Roman"/>
          <w:sz w:val="24"/>
          <w:szCs w:val="24"/>
        </w:rPr>
        <w:t xml:space="preserve">The rest of </w:t>
      </w:r>
      <w:r w:rsidR="00CE0538">
        <w:rPr>
          <w:rFonts w:ascii="Times New Roman" w:hAnsi="Times New Roman" w:cs="Times New Roman"/>
          <w:sz w:val="24"/>
          <w:szCs w:val="24"/>
        </w:rPr>
        <w:t>this</w:t>
      </w:r>
      <w:r w:rsidR="00CE0538" w:rsidRPr="00872FA2">
        <w:rPr>
          <w:rFonts w:ascii="Times New Roman" w:hAnsi="Times New Roman" w:cs="Times New Roman"/>
          <w:sz w:val="24"/>
          <w:szCs w:val="24"/>
        </w:rPr>
        <w:t xml:space="preserve"> </w:t>
      </w:r>
      <w:r w:rsidRPr="00872FA2">
        <w:rPr>
          <w:rFonts w:ascii="Times New Roman" w:hAnsi="Times New Roman" w:cs="Times New Roman"/>
          <w:sz w:val="24"/>
          <w:szCs w:val="24"/>
        </w:rPr>
        <w:t>paper proceeds as follows. Section 2 describes the data</w:t>
      </w:r>
      <w:r w:rsidR="00C42D17" w:rsidRPr="00872FA2">
        <w:rPr>
          <w:rFonts w:ascii="Times New Roman" w:hAnsi="Times New Roman" w:cs="Times New Roman"/>
          <w:sz w:val="24"/>
          <w:szCs w:val="24"/>
        </w:rPr>
        <w:t xml:space="preserve"> and empirical</w:t>
      </w:r>
      <w:r w:rsidRPr="00872FA2">
        <w:rPr>
          <w:rFonts w:ascii="Times New Roman" w:hAnsi="Times New Roman" w:cs="Times New Roman"/>
          <w:sz w:val="24"/>
          <w:szCs w:val="24"/>
        </w:rPr>
        <w:t xml:space="preserve"> methodology. Section 3 presents our main results</w:t>
      </w:r>
      <w:r w:rsidR="00C42D17" w:rsidRPr="00872FA2">
        <w:rPr>
          <w:rFonts w:ascii="Times New Roman" w:hAnsi="Times New Roman" w:cs="Times New Roman"/>
          <w:sz w:val="24"/>
          <w:szCs w:val="24"/>
        </w:rPr>
        <w:t xml:space="preserve"> on the impact of intrahousehold status on BMI. </w:t>
      </w:r>
      <w:r w:rsidRPr="00872FA2">
        <w:rPr>
          <w:rFonts w:ascii="Times New Roman" w:hAnsi="Times New Roman" w:cs="Times New Roman"/>
          <w:sz w:val="24"/>
          <w:szCs w:val="24"/>
        </w:rPr>
        <w:t xml:space="preserve">Section 4 presents evidence on </w:t>
      </w:r>
      <w:r w:rsidR="00C16C62">
        <w:rPr>
          <w:rFonts w:ascii="Times New Roman" w:hAnsi="Times New Roman" w:cs="Times New Roman"/>
          <w:sz w:val="24"/>
          <w:szCs w:val="24"/>
        </w:rPr>
        <w:t xml:space="preserve">possible </w:t>
      </w:r>
      <w:r w:rsidRPr="00872FA2">
        <w:rPr>
          <w:rFonts w:ascii="Times New Roman" w:hAnsi="Times New Roman" w:cs="Times New Roman"/>
          <w:sz w:val="24"/>
          <w:szCs w:val="24"/>
        </w:rPr>
        <w:t>mechanisms</w:t>
      </w:r>
      <w:r w:rsidR="00872FA2" w:rsidRPr="00872FA2">
        <w:rPr>
          <w:rFonts w:ascii="Times New Roman" w:hAnsi="Times New Roman" w:cs="Times New Roman"/>
          <w:sz w:val="24"/>
          <w:szCs w:val="24"/>
        </w:rPr>
        <w:t xml:space="preserve"> </w:t>
      </w:r>
      <w:r w:rsidR="00014298">
        <w:rPr>
          <w:rFonts w:ascii="Times New Roman" w:hAnsi="Times New Roman" w:cs="Times New Roman"/>
          <w:sz w:val="24"/>
          <w:szCs w:val="24"/>
        </w:rPr>
        <w:t>via which</w:t>
      </w:r>
      <w:r w:rsidR="00872FA2" w:rsidRPr="00872FA2">
        <w:rPr>
          <w:rFonts w:ascii="Times New Roman" w:hAnsi="Times New Roman" w:cs="Times New Roman"/>
          <w:sz w:val="24"/>
          <w:szCs w:val="24"/>
        </w:rPr>
        <w:t xml:space="preserve"> intrahousehold status </w:t>
      </w:r>
      <w:r w:rsidR="00F10D45">
        <w:rPr>
          <w:rFonts w:ascii="Times New Roman" w:hAnsi="Times New Roman" w:cs="Times New Roman"/>
          <w:sz w:val="24"/>
          <w:szCs w:val="24"/>
        </w:rPr>
        <w:t>can increase</w:t>
      </w:r>
      <w:r w:rsidR="00872FA2" w:rsidRPr="00872FA2">
        <w:rPr>
          <w:rFonts w:ascii="Times New Roman" w:hAnsi="Times New Roman" w:cs="Times New Roman"/>
          <w:sz w:val="24"/>
          <w:szCs w:val="24"/>
        </w:rPr>
        <w:t xml:space="preserve"> BMI.</w:t>
      </w:r>
      <w:r w:rsidRPr="00872FA2">
        <w:rPr>
          <w:rFonts w:ascii="Times New Roman" w:hAnsi="Times New Roman" w:cs="Times New Roman"/>
          <w:sz w:val="24"/>
          <w:szCs w:val="24"/>
        </w:rPr>
        <w:t xml:space="preserve"> </w:t>
      </w:r>
      <w:r w:rsidR="00872FA2" w:rsidRPr="00872FA2">
        <w:rPr>
          <w:rFonts w:ascii="Times New Roman" w:hAnsi="Times New Roman" w:cs="Times New Roman"/>
          <w:sz w:val="24"/>
          <w:szCs w:val="24"/>
        </w:rPr>
        <w:t>S</w:t>
      </w:r>
      <w:r w:rsidRPr="00872FA2">
        <w:rPr>
          <w:rFonts w:ascii="Times New Roman" w:hAnsi="Times New Roman" w:cs="Times New Roman"/>
          <w:sz w:val="24"/>
          <w:szCs w:val="24"/>
        </w:rPr>
        <w:t xml:space="preserve">ection </w:t>
      </w:r>
      <w:r w:rsidR="00A25E20" w:rsidRPr="00872FA2">
        <w:rPr>
          <w:rFonts w:ascii="Times New Roman" w:hAnsi="Times New Roman" w:cs="Times New Roman"/>
          <w:sz w:val="24"/>
          <w:szCs w:val="24"/>
        </w:rPr>
        <w:t>5</w:t>
      </w:r>
      <w:r w:rsidRPr="00872FA2">
        <w:rPr>
          <w:rFonts w:ascii="Times New Roman" w:hAnsi="Times New Roman" w:cs="Times New Roman"/>
          <w:sz w:val="24"/>
          <w:szCs w:val="24"/>
        </w:rPr>
        <w:t xml:space="preserve"> concludes</w:t>
      </w:r>
      <w:r w:rsidR="00BA7274">
        <w:rPr>
          <w:rFonts w:ascii="Times New Roman" w:hAnsi="Times New Roman" w:cs="Times New Roman"/>
          <w:sz w:val="24"/>
          <w:szCs w:val="24"/>
        </w:rPr>
        <w:t xml:space="preserve"> the paper</w:t>
      </w:r>
      <w:r w:rsidRPr="00872FA2">
        <w:rPr>
          <w:rFonts w:ascii="Times New Roman" w:hAnsi="Times New Roman" w:cs="Times New Roman"/>
          <w:sz w:val="24"/>
          <w:szCs w:val="24"/>
        </w:rPr>
        <w:t>.</w:t>
      </w:r>
    </w:p>
    <w:p w14:paraId="78666E9F" w14:textId="77777777" w:rsidR="009353DE" w:rsidRPr="00CE776C" w:rsidRDefault="009353DE" w:rsidP="00283198">
      <w:pPr>
        <w:pStyle w:val="Caption"/>
        <w:keepNext/>
        <w:spacing w:before="240"/>
        <w:jc w:val="both"/>
        <w:rPr>
          <w:rFonts w:ascii="Times New Roman" w:hAnsi="Times New Roman" w:cs="Times New Roman"/>
          <w:b/>
          <w:i w:val="0"/>
          <w:color w:val="auto"/>
          <w:sz w:val="24"/>
        </w:rPr>
      </w:pPr>
      <w:r w:rsidRPr="00CE776C">
        <w:rPr>
          <w:rFonts w:ascii="Times New Roman" w:hAnsi="Times New Roman" w:cs="Times New Roman"/>
          <w:b/>
          <w:i w:val="0"/>
          <w:color w:val="auto"/>
          <w:sz w:val="24"/>
        </w:rPr>
        <w:lastRenderedPageBreak/>
        <w:t xml:space="preserve">Figure </w:t>
      </w:r>
      <w:r w:rsidRPr="00CE776C">
        <w:rPr>
          <w:rFonts w:ascii="Times New Roman" w:hAnsi="Times New Roman" w:cs="Times New Roman"/>
          <w:b/>
          <w:i w:val="0"/>
          <w:color w:val="auto"/>
          <w:sz w:val="24"/>
        </w:rPr>
        <w:fldChar w:fldCharType="begin"/>
      </w:r>
      <w:r w:rsidRPr="00CE776C">
        <w:rPr>
          <w:rFonts w:ascii="Times New Roman" w:hAnsi="Times New Roman" w:cs="Times New Roman"/>
          <w:b/>
          <w:i w:val="0"/>
          <w:color w:val="auto"/>
          <w:sz w:val="24"/>
        </w:rPr>
        <w:instrText xml:space="preserve"> SEQ Figure \* ARABIC </w:instrText>
      </w:r>
      <w:r w:rsidRPr="00CE776C">
        <w:rPr>
          <w:rFonts w:ascii="Times New Roman" w:hAnsi="Times New Roman" w:cs="Times New Roman"/>
          <w:b/>
          <w:i w:val="0"/>
          <w:color w:val="auto"/>
          <w:sz w:val="24"/>
        </w:rPr>
        <w:fldChar w:fldCharType="separate"/>
      </w:r>
      <w:r w:rsidR="007F72CA" w:rsidRPr="00CE776C">
        <w:rPr>
          <w:rFonts w:ascii="Times New Roman" w:hAnsi="Times New Roman" w:cs="Times New Roman"/>
          <w:b/>
          <w:i w:val="0"/>
          <w:noProof/>
          <w:color w:val="auto"/>
          <w:sz w:val="24"/>
        </w:rPr>
        <w:t>1</w:t>
      </w:r>
      <w:r w:rsidRPr="00CE776C">
        <w:rPr>
          <w:rFonts w:ascii="Times New Roman" w:hAnsi="Times New Roman" w:cs="Times New Roman"/>
          <w:b/>
          <w:i w:val="0"/>
          <w:color w:val="auto"/>
          <w:sz w:val="24"/>
        </w:rPr>
        <w:fldChar w:fldCharType="end"/>
      </w:r>
      <w:r w:rsidRPr="00CE776C">
        <w:rPr>
          <w:rFonts w:ascii="Times New Roman" w:hAnsi="Times New Roman" w:cs="Times New Roman"/>
          <w:b/>
          <w:i w:val="0"/>
          <w:color w:val="auto"/>
          <w:sz w:val="24"/>
        </w:rPr>
        <w:t xml:space="preserve">: Percentage of women overweight/obese (BMI </w:t>
      </w:r>
      <w:r w:rsidR="00674A18" w:rsidRPr="00CE776C">
        <w:rPr>
          <w:rFonts w:ascii="Times New Roman" w:eastAsia="Times New Roman" w:hAnsi="Times New Roman" w:cs="Times New Roman"/>
          <w:b/>
          <w:color w:val="000000"/>
          <w:sz w:val="24"/>
          <w:szCs w:val="24"/>
          <w:lang w:eastAsia="en-IN"/>
        </w:rPr>
        <w:t xml:space="preserve">≥ </w:t>
      </w:r>
      <w:r w:rsidRPr="00CE776C">
        <w:rPr>
          <w:rFonts w:ascii="Times New Roman" w:hAnsi="Times New Roman" w:cs="Times New Roman"/>
          <w:b/>
          <w:i w:val="0"/>
          <w:color w:val="auto"/>
          <w:sz w:val="24"/>
        </w:rPr>
        <w:t>25 kg/m</w:t>
      </w:r>
      <w:r w:rsidRPr="00CE776C">
        <w:rPr>
          <w:rFonts w:ascii="Times New Roman" w:hAnsi="Times New Roman" w:cs="Times New Roman"/>
          <w:b/>
          <w:i w:val="0"/>
          <w:color w:val="auto"/>
          <w:sz w:val="24"/>
          <w:vertAlign w:val="superscript"/>
        </w:rPr>
        <w:t>2</w:t>
      </w:r>
      <w:r w:rsidRPr="00CE776C">
        <w:rPr>
          <w:rFonts w:ascii="Times New Roman" w:hAnsi="Times New Roman" w:cs="Times New Roman"/>
          <w:b/>
          <w:i w:val="0"/>
          <w:color w:val="auto"/>
          <w:sz w:val="24"/>
        </w:rPr>
        <w:t>) in districts of urban India</w:t>
      </w:r>
    </w:p>
    <w:p w14:paraId="0CAECAA4" w14:textId="77777777" w:rsidR="00645147" w:rsidRDefault="009353DE" w:rsidP="00E40471">
      <w:pPr>
        <w:spacing w:line="360" w:lineRule="auto"/>
        <w:jc w:val="center"/>
      </w:pPr>
      <w:r>
        <w:rPr>
          <w:rFonts w:ascii="Times New Roman" w:hAnsi="Times New Roman" w:cs="Times New Roman"/>
          <w:noProof/>
          <w:sz w:val="24"/>
          <w:szCs w:val="24"/>
        </w:rPr>
        <w:drawing>
          <wp:inline distT="0" distB="0" distL="0" distR="0" wp14:anchorId="666A3FD9" wp14:editId="15205741">
            <wp:extent cx="3221665" cy="3340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_women_dist_urban.png"/>
                    <pic:cNvPicPr/>
                  </pic:nvPicPr>
                  <pic:blipFill>
                    <a:blip r:embed="rId8">
                      <a:extLst>
                        <a:ext uri="{28A0092B-C50C-407E-A947-70E740481C1C}">
                          <a14:useLocalDpi xmlns:a14="http://schemas.microsoft.com/office/drawing/2010/main" val="0"/>
                        </a:ext>
                      </a:extLst>
                    </a:blip>
                    <a:stretch>
                      <a:fillRect/>
                    </a:stretch>
                  </pic:blipFill>
                  <pic:spPr>
                    <a:xfrm>
                      <a:off x="0" y="0"/>
                      <a:ext cx="3260587" cy="3381348"/>
                    </a:xfrm>
                    <a:prstGeom prst="rect">
                      <a:avLst/>
                    </a:prstGeom>
                  </pic:spPr>
                </pic:pic>
              </a:graphicData>
            </a:graphic>
          </wp:inline>
        </w:drawing>
      </w:r>
    </w:p>
    <w:p w14:paraId="28A0B93D" w14:textId="77777777" w:rsidR="007F72CA" w:rsidRPr="00CE776C" w:rsidRDefault="007F72CA" w:rsidP="007F72CA">
      <w:pPr>
        <w:pStyle w:val="Caption"/>
        <w:keepNext/>
        <w:spacing w:before="240"/>
        <w:jc w:val="both"/>
        <w:rPr>
          <w:rFonts w:ascii="Times New Roman" w:hAnsi="Times New Roman" w:cs="Times New Roman"/>
          <w:b/>
          <w:i w:val="0"/>
          <w:color w:val="auto"/>
          <w:sz w:val="24"/>
        </w:rPr>
      </w:pPr>
      <w:r w:rsidRPr="00CE776C">
        <w:rPr>
          <w:rFonts w:ascii="Times New Roman" w:hAnsi="Times New Roman" w:cs="Times New Roman"/>
          <w:b/>
          <w:i w:val="0"/>
          <w:color w:val="auto"/>
          <w:sz w:val="24"/>
        </w:rPr>
        <w:t xml:space="preserve">Figure </w:t>
      </w:r>
      <w:r w:rsidRPr="00CE776C">
        <w:rPr>
          <w:rFonts w:ascii="Times New Roman" w:hAnsi="Times New Roman" w:cs="Times New Roman"/>
          <w:b/>
          <w:i w:val="0"/>
          <w:color w:val="auto"/>
          <w:sz w:val="24"/>
        </w:rPr>
        <w:fldChar w:fldCharType="begin"/>
      </w:r>
      <w:r w:rsidRPr="00CE776C">
        <w:rPr>
          <w:rFonts w:ascii="Times New Roman" w:hAnsi="Times New Roman" w:cs="Times New Roman"/>
          <w:b/>
          <w:i w:val="0"/>
          <w:color w:val="auto"/>
          <w:sz w:val="24"/>
        </w:rPr>
        <w:instrText xml:space="preserve"> SEQ Figure \* ARABIC </w:instrText>
      </w:r>
      <w:r w:rsidRPr="00CE776C">
        <w:rPr>
          <w:rFonts w:ascii="Times New Roman" w:hAnsi="Times New Roman" w:cs="Times New Roman"/>
          <w:b/>
          <w:i w:val="0"/>
          <w:color w:val="auto"/>
          <w:sz w:val="24"/>
        </w:rPr>
        <w:fldChar w:fldCharType="separate"/>
      </w:r>
      <w:r w:rsidRPr="00CE776C">
        <w:rPr>
          <w:rFonts w:ascii="Times New Roman" w:hAnsi="Times New Roman" w:cs="Times New Roman"/>
          <w:b/>
          <w:i w:val="0"/>
          <w:color w:val="auto"/>
          <w:sz w:val="24"/>
        </w:rPr>
        <w:t>2</w:t>
      </w:r>
      <w:r w:rsidRPr="00CE776C">
        <w:rPr>
          <w:rFonts w:ascii="Times New Roman" w:hAnsi="Times New Roman" w:cs="Times New Roman"/>
          <w:b/>
          <w:i w:val="0"/>
          <w:color w:val="auto"/>
          <w:sz w:val="24"/>
        </w:rPr>
        <w:fldChar w:fldCharType="end"/>
      </w:r>
      <w:r w:rsidRPr="00CE776C">
        <w:rPr>
          <w:rFonts w:ascii="Times New Roman" w:hAnsi="Times New Roman" w:cs="Times New Roman"/>
          <w:b/>
          <w:i w:val="0"/>
          <w:color w:val="auto"/>
          <w:sz w:val="24"/>
        </w:rPr>
        <w:t>: Percentage of women overweight/obese (BMI ≥ 25 kg/m</w:t>
      </w:r>
      <w:r w:rsidRPr="00CE776C">
        <w:rPr>
          <w:rFonts w:ascii="Times New Roman" w:hAnsi="Times New Roman" w:cs="Times New Roman"/>
          <w:b/>
          <w:i w:val="0"/>
          <w:color w:val="auto"/>
          <w:sz w:val="24"/>
          <w:vertAlign w:val="superscript"/>
        </w:rPr>
        <w:t>2</w:t>
      </w:r>
      <w:r w:rsidRPr="00CE776C">
        <w:rPr>
          <w:rFonts w:ascii="Times New Roman" w:hAnsi="Times New Roman" w:cs="Times New Roman"/>
          <w:b/>
          <w:i w:val="0"/>
          <w:color w:val="auto"/>
          <w:sz w:val="24"/>
        </w:rPr>
        <w:t>) in districts of rural India</w:t>
      </w:r>
    </w:p>
    <w:p w14:paraId="38EF33D3" w14:textId="77777777" w:rsidR="009C3558" w:rsidRPr="001B153B" w:rsidRDefault="007F72CA" w:rsidP="00B222E4">
      <w:pPr>
        <w:spacing w:after="0"/>
        <w:jc w:val="center"/>
        <w:rPr>
          <w:rFonts w:ascii="Times New Roman" w:hAnsi="Times New Roman" w:cs="Times New Roman"/>
          <w:b/>
          <w:iCs/>
          <w:sz w:val="24"/>
          <w:szCs w:val="18"/>
        </w:rPr>
      </w:pPr>
      <w:r>
        <w:rPr>
          <w:rFonts w:ascii="Times New Roman" w:hAnsi="Times New Roman" w:cs="Times New Roman"/>
          <w:b/>
          <w:iCs/>
          <w:noProof/>
          <w:sz w:val="24"/>
          <w:szCs w:val="18"/>
        </w:rPr>
        <w:drawing>
          <wp:inline distT="0" distB="0" distL="0" distR="0" wp14:anchorId="14C00FEA" wp14:editId="272F396F">
            <wp:extent cx="3341679" cy="3466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_women_dist_rural.png"/>
                    <pic:cNvPicPr/>
                  </pic:nvPicPr>
                  <pic:blipFill>
                    <a:blip r:embed="rId9">
                      <a:extLst>
                        <a:ext uri="{28A0092B-C50C-407E-A947-70E740481C1C}">
                          <a14:useLocalDpi xmlns:a14="http://schemas.microsoft.com/office/drawing/2010/main" val="0"/>
                        </a:ext>
                      </a:extLst>
                    </a:blip>
                    <a:stretch>
                      <a:fillRect/>
                    </a:stretch>
                  </pic:blipFill>
                  <pic:spPr>
                    <a:xfrm>
                      <a:off x="0" y="0"/>
                      <a:ext cx="3346672" cy="3471393"/>
                    </a:xfrm>
                    <a:prstGeom prst="rect">
                      <a:avLst/>
                    </a:prstGeom>
                  </pic:spPr>
                </pic:pic>
              </a:graphicData>
            </a:graphic>
          </wp:inline>
        </w:drawing>
      </w:r>
    </w:p>
    <w:p w14:paraId="4BA3F740" w14:textId="77777777" w:rsidR="009C3558" w:rsidRDefault="009C3558" w:rsidP="001B153B">
      <w:pPr>
        <w:pStyle w:val="Caption"/>
        <w:keepNext/>
        <w:spacing w:before="240" w:after="0" w:line="276" w:lineRule="auto"/>
        <w:rPr>
          <w:rFonts w:ascii="Times New Roman" w:hAnsi="Times New Roman" w:cs="Times New Roman"/>
          <w:b/>
          <w:i w:val="0"/>
          <w:color w:val="auto"/>
          <w:sz w:val="24"/>
        </w:rPr>
      </w:pPr>
      <w:r>
        <w:rPr>
          <w:rFonts w:ascii="Times New Roman" w:hAnsi="Times New Roman" w:cs="Times New Roman"/>
          <w:b/>
          <w:i w:val="0"/>
          <w:color w:val="auto"/>
          <w:sz w:val="24"/>
        </w:rPr>
        <w:lastRenderedPageBreak/>
        <w:t xml:space="preserve">Figure </w:t>
      </w:r>
      <w:r w:rsidR="009353DE">
        <w:rPr>
          <w:rFonts w:ascii="Times New Roman" w:hAnsi="Times New Roman" w:cs="Times New Roman"/>
          <w:b/>
          <w:i w:val="0"/>
          <w:color w:val="auto"/>
          <w:sz w:val="24"/>
        </w:rPr>
        <w:fldChar w:fldCharType="begin"/>
      </w:r>
      <w:r w:rsidR="009353DE">
        <w:rPr>
          <w:rFonts w:ascii="Times New Roman" w:hAnsi="Times New Roman" w:cs="Times New Roman"/>
          <w:b/>
          <w:i w:val="0"/>
          <w:color w:val="auto"/>
          <w:sz w:val="24"/>
        </w:rPr>
        <w:instrText xml:space="preserve"> SEQ Figure \* ARABIC </w:instrText>
      </w:r>
      <w:r w:rsidR="009353DE">
        <w:rPr>
          <w:rFonts w:ascii="Times New Roman" w:hAnsi="Times New Roman" w:cs="Times New Roman"/>
          <w:b/>
          <w:i w:val="0"/>
          <w:color w:val="auto"/>
          <w:sz w:val="24"/>
        </w:rPr>
        <w:fldChar w:fldCharType="separate"/>
      </w:r>
      <w:r w:rsidR="007F72CA">
        <w:rPr>
          <w:rFonts w:ascii="Times New Roman" w:hAnsi="Times New Roman" w:cs="Times New Roman"/>
          <w:b/>
          <w:i w:val="0"/>
          <w:noProof/>
          <w:color w:val="auto"/>
          <w:sz w:val="24"/>
        </w:rPr>
        <w:t>3</w:t>
      </w:r>
      <w:r w:rsidR="009353DE">
        <w:rPr>
          <w:rFonts w:ascii="Times New Roman" w:hAnsi="Times New Roman" w:cs="Times New Roman"/>
          <w:b/>
          <w:i w:val="0"/>
          <w:color w:val="auto"/>
          <w:sz w:val="24"/>
        </w:rPr>
        <w:fldChar w:fldCharType="end"/>
      </w:r>
      <w:r>
        <w:rPr>
          <w:rFonts w:ascii="Times New Roman" w:hAnsi="Times New Roman" w:cs="Times New Roman"/>
          <w:b/>
          <w:i w:val="0"/>
          <w:color w:val="auto"/>
          <w:sz w:val="24"/>
        </w:rPr>
        <w:t>: Overweight and obesity among women in urban and rural India</w:t>
      </w:r>
      <w:r w:rsidR="000849B8">
        <w:rPr>
          <w:rFonts w:ascii="Times New Roman" w:hAnsi="Times New Roman" w:cs="Times New Roman"/>
          <w:b/>
          <w:i w:val="0"/>
          <w:color w:val="auto"/>
          <w:sz w:val="24"/>
        </w:rPr>
        <w:t xml:space="preserve">, </w:t>
      </w:r>
      <w:r w:rsidR="008C400E">
        <w:rPr>
          <w:rFonts w:ascii="Times New Roman" w:hAnsi="Times New Roman" w:cs="Times New Roman"/>
          <w:b/>
          <w:i w:val="0"/>
          <w:color w:val="auto"/>
          <w:sz w:val="24"/>
        </w:rPr>
        <w:t>conditional on age</w:t>
      </w:r>
    </w:p>
    <w:p w14:paraId="6C5124AB" w14:textId="77777777" w:rsidR="009C3558" w:rsidRDefault="009C3558" w:rsidP="00004192">
      <w:pPr>
        <w:spacing w:before="240" w:line="276" w:lineRule="auto"/>
        <w:jc w:val="center"/>
        <w:rPr>
          <w:color w:val="FF0000"/>
        </w:rPr>
      </w:pPr>
      <w:r>
        <w:rPr>
          <w:noProof/>
          <w:color w:val="FF0000"/>
        </w:rPr>
        <w:drawing>
          <wp:inline distT="0" distB="0" distL="0" distR="0" wp14:anchorId="59BB1E5B" wp14:editId="7A886A63">
            <wp:extent cx="3934047" cy="27135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8828" cy="2751299"/>
                    </a:xfrm>
                    <a:prstGeom prst="rect">
                      <a:avLst/>
                    </a:prstGeom>
                    <a:noFill/>
                    <a:ln w="9525" cmpd="sng">
                      <a:noFill/>
                      <a:miter lim="800000"/>
                      <a:headEnd/>
                      <a:tailEnd/>
                    </a:ln>
                    <a:effectLst/>
                  </pic:spPr>
                </pic:pic>
              </a:graphicData>
            </a:graphic>
          </wp:inline>
        </w:drawing>
      </w:r>
    </w:p>
    <w:p w14:paraId="7FF8ACD4" w14:textId="77777777" w:rsidR="009C3558" w:rsidRDefault="009C3558" w:rsidP="009C3558">
      <w:pPr>
        <w:rPr>
          <w:rFonts w:ascii="Times New Roman" w:hAnsi="Times New Roman" w:cs="Times New Roman"/>
          <w:b/>
          <w:sz w:val="24"/>
          <w:szCs w:val="24"/>
        </w:rPr>
      </w:pPr>
      <w:r>
        <w:rPr>
          <w:rFonts w:ascii="Times New Roman" w:hAnsi="Times New Roman" w:cs="Times New Roman"/>
          <w:b/>
          <w:sz w:val="24"/>
          <w:szCs w:val="24"/>
        </w:rPr>
        <w:br w:type="page"/>
      </w:r>
    </w:p>
    <w:p w14:paraId="020B32D6" w14:textId="77777777" w:rsidR="00443B90" w:rsidRDefault="0027504C" w:rsidP="00443B90">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Data and empirical methodology</w:t>
      </w:r>
    </w:p>
    <w:p w14:paraId="02A9EBED" w14:textId="77777777" w:rsidR="00771E2D" w:rsidRPr="00771E2D" w:rsidRDefault="00771E2D" w:rsidP="00E40471">
      <w:r w:rsidRPr="00E40471">
        <w:rPr>
          <w:rFonts w:ascii="Times New Roman" w:hAnsi="Times New Roman" w:cs="Times New Roman"/>
          <w:b/>
          <w:sz w:val="24"/>
          <w:szCs w:val="24"/>
        </w:rPr>
        <w:t>2.1. The effect of intrahousehold status on BMI</w:t>
      </w:r>
    </w:p>
    <w:p w14:paraId="4BCC8EB5" w14:textId="09E548BC" w:rsidR="005D16A1" w:rsidRDefault="009741BD" w:rsidP="00E40471">
      <w:pPr>
        <w:spacing w:before="240" w:line="360" w:lineRule="auto"/>
        <w:jc w:val="both"/>
        <w:rPr>
          <w:rFonts w:ascii="Times New Roman" w:hAnsi="Times New Roman" w:cs="Times New Roman"/>
          <w:sz w:val="24"/>
          <w:szCs w:val="24"/>
        </w:rPr>
      </w:pPr>
      <w:r w:rsidRPr="00443B90">
        <w:rPr>
          <w:rFonts w:ascii="Times New Roman" w:hAnsi="Times New Roman" w:cs="Times New Roman"/>
          <w:sz w:val="24"/>
          <w:szCs w:val="24"/>
        </w:rPr>
        <w:t>We hypothesize</w:t>
      </w:r>
      <w:r w:rsidR="009C3558" w:rsidRPr="00443B90">
        <w:rPr>
          <w:rFonts w:ascii="Times New Roman" w:hAnsi="Times New Roman" w:cs="Times New Roman"/>
          <w:sz w:val="24"/>
          <w:szCs w:val="24"/>
        </w:rPr>
        <w:t xml:space="preserve"> that intrahousehold status plays a role in explaining differences in BMI among women</w:t>
      </w:r>
      <w:r w:rsidR="00215932">
        <w:rPr>
          <w:rFonts w:ascii="Times New Roman" w:hAnsi="Times New Roman" w:cs="Times New Roman"/>
          <w:sz w:val="24"/>
          <w:szCs w:val="24"/>
        </w:rPr>
        <w:t xml:space="preserve"> in India</w:t>
      </w:r>
      <w:r w:rsidR="009C3558" w:rsidRPr="00443B90">
        <w:rPr>
          <w:rFonts w:ascii="Times New Roman" w:hAnsi="Times New Roman" w:cs="Times New Roman"/>
          <w:sz w:val="24"/>
          <w:szCs w:val="24"/>
        </w:rPr>
        <w:t>. For</w:t>
      </w:r>
      <w:r w:rsidR="00771E2D">
        <w:rPr>
          <w:rFonts w:ascii="Times New Roman" w:hAnsi="Times New Roman" w:cs="Times New Roman"/>
          <w:sz w:val="24"/>
          <w:szCs w:val="24"/>
        </w:rPr>
        <w:t xml:space="preserve"> empirical</w:t>
      </w:r>
      <w:r w:rsidR="009C3558" w:rsidRPr="00443B90">
        <w:rPr>
          <w:rFonts w:ascii="Times New Roman" w:hAnsi="Times New Roman" w:cs="Times New Roman"/>
          <w:sz w:val="24"/>
          <w:szCs w:val="24"/>
        </w:rPr>
        <w:t xml:space="preserve"> analys</w:t>
      </w:r>
      <w:r w:rsidR="00CB59B1">
        <w:rPr>
          <w:rFonts w:ascii="Times New Roman" w:hAnsi="Times New Roman" w:cs="Times New Roman"/>
          <w:sz w:val="24"/>
          <w:szCs w:val="24"/>
        </w:rPr>
        <w:t>i</w:t>
      </w:r>
      <w:r w:rsidR="00771E2D">
        <w:rPr>
          <w:rFonts w:ascii="Times New Roman" w:hAnsi="Times New Roman" w:cs="Times New Roman"/>
          <w:sz w:val="24"/>
          <w:szCs w:val="24"/>
        </w:rPr>
        <w:t>s</w:t>
      </w:r>
      <w:r w:rsidR="009C3558" w:rsidRPr="00443B90">
        <w:rPr>
          <w:rFonts w:ascii="Times New Roman" w:hAnsi="Times New Roman" w:cs="Times New Roman"/>
          <w:sz w:val="24"/>
          <w:szCs w:val="24"/>
        </w:rPr>
        <w:t xml:space="preserve">, we use </w:t>
      </w:r>
      <w:r w:rsidR="00771E2D">
        <w:rPr>
          <w:rFonts w:ascii="Times New Roman" w:hAnsi="Times New Roman" w:cs="Times New Roman"/>
          <w:sz w:val="24"/>
          <w:szCs w:val="24"/>
        </w:rPr>
        <w:t>the</w:t>
      </w:r>
      <w:r w:rsidR="009C3558" w:rsidRPr="00443B90">
        <w:rPr>
          <w:rFonts w:ascii="Times New Roman" w:hAnsi="Times New Roman" w:cs="Times New Roman"/>
          <w:sz w:val="24"/>
          <w:szCs w:val="24"/>
        </w:rPr>
        <w:t xml:space="preserve"> nationally representative National Family Health Survey (NFHS-4) </w:t>
      </w:r>
      <w:r w:rsidR="00771E2D">
        <w:rPr>
          <w:rFonts w:ascii="Times New Roman" w:hAnsi="Times New Roman" w:cs="Times New Roman"/>
          <w:sz w:val="24"/>
          <w:szCs w:val="24"/>
        </w:rPr>
        <w:t xml:space="preserve">data from </w:t>
      </w:r>
      <w:r w:rsidR="009C3558" w:rsidRPr="00443B90">
        <w:rPr>
          <w:rFonts w:ascii="Times New Roman" w:hAnsi="Times New Roman" w:cs="Times New Roman"/>
          <w:sz w:val="24"/>
          <w:szCs w:val="24"/>
        </w:rPr>
        <w:t xml:space="preserve">2015-16 </w:t>
      </w:r>
      <w:r w:rsidR="00771E2D" w:rsidRPr="00443B90">
        <w:rPr>
          <w:rFonts w:ascii="Times New Roman" w:hAnsi="Times New Roman" w:cs="Times New Roman"/>
          <w:sz w:val="24"/>
          <w:szCs w:val="24"/>
        </w:rPr>
        <w:t>compris</w:t>
      </w:r>
      <w:r w:rsidR="00771E2D">
        <w:rPr>
          <w:rFonts w:ascii="Times New Roman" w:hAnsi="Times New Roman" w:cs="Times New Roman"/>
          <w:sz w:val="24"/>
          <w:szCs w:val="24"/>
        </w:rPr>
        <w:t>ing</w:t>
      </w:r>
      <w:r w:rsidR="00771E2D" w:rsidRPr="00443B90">
        <w:rPr>
          <w:rFonts w:ascii="Times New Roman" w:hAnsi="Times New Roman" w:cs="Times New Roman"/>
          <w:sz w:val="24"/>
          <w:szCs w:val="24"/>
        </w:rPr>
        <w:t xml:space="preserve"> of 699,686 </w:t>
      </w:r>
      <w:r w:rsidR="00771E2D">
        <w:rPr>
          <w:rFonts w:ascii="Times New Roman" w:hAnsi="Times New Roman" w:cs="Times New Roman"/>
          <w:sz w:val="24"/>
          <w:szCs w:val="24"/>
        </w:rPr>
        <w:t>adult women aged 15-49 years.</w:t>
      </w:r>
      <w:r w:rsidR="00CE6F03">
        <w:rPr>
          <w:rFonts w:ascii="Times New Roman" w:hAnsi="Times New Roman" w:cs="Times New Roman"/>
          <w:sz w:val="24"/>
          <w:szCs w:val="24"/>
        </w:rPr>
        <w:t xml:space="preserve"> </w:t>
      </w:r>
      <w:r w:rsidR="00FA3222" w:rsidRPr="00FA3222">
        <w:rPr>
          <w:rFonts w:ascii="Times New Roman" w:hAnsi="Times New Roman" w:cs="Times New Roman"/>
          <w:sz w:val="24"/>
          <w:szCs w:val="24"/>
        </w:rPr>
        <w:t xml:space="preserve">NFHS is a part of the Demographic and Health Survey (DHS) </w:t>
      </w:r>
      <w:r w:rsidR="0053149A" w:rsidRPr="00FA3222">
        <w:rPr>
          <w:rFonts w:ascii="Times New Roman" w:hAnsi="Times New Roman" w:cs="Times New Roman"/>
          <w:sz w:val="24"/>
          <w:szCs w:val="24"/>
        </w:rPr>
        <w:t>program</w:t>
      </w:r>
      <w:r w:rsidR="0053149A">
        <w:rPr>
          <w:rFonts w:ascii="Times New Roman" w:hAnsi="Times New Roman" w:cs="Times New Roman"/>
          <w:sz w:val="24"/>
          <w:szCs w:val="24"/>
        </w:rPr>
        <w:t xml:space="preserve"> and</w:t>
      </w:r>
      <w:r w:rsidR="003F1199" w:rsidRPr="00DF0105">
        <w:rPr>
          <w:rFonts w:ascii="Times New Roman" w:hAnsi="Times New Roman" w:cs="Times New Roman"/>
          <w:sz w:val="24"/>
          <w:szCs w:val="24"/>
        </w:rPr>
        <w:t xml:space="preserve"> has been especially </w:t>
      </w:r>
      <w:r w:rsidR="000D5B4F">
        <w:rPr>
          <w:rFonts w:ascii="Times New Roman" w:hAnsi="Times New Roman" w:cs="Times New Roman"/>
          <w:sz w:val="24"/>
          <w:szCs w:val="24"/>
        </w:rPr>
        <w:t>useful</w:t>
      </w:r>
      <w:r w:rsidR="000D5B4F" w:rsidRPr="00DF0105">
        <w:rPr>
          <w:rFonts w:ascii="Times New Roman" w:hAnsi="Times New Roman" w:cs="Times New Roman"/>
          <w:sz w:val="24"/>
          <w:szCs w:val="24"/>
        </w:rPr>
        <w:t xml:space="preserve"> </w:t>
      </w:r>
      <w:r w:rsidR="003F1199" w:rsidRPr="00DF0105">
        <w:rPr>
          <w:rFonts w:ascii="Times New Roman" w:hAnsi="Times New Roman" w:cs="Times New Roman"/>
          <w:sz w:val="24"/>
          <w:szCs w:val="24"/>
        </w:rPr>
        <w:t>for researchers</w:t>
      </w:r>
      <w:r w:rsidR="003F1199">
        <w:rPr>
          <w:rFonts w:ascii="Times New Roman" w:hAnsi="Times New Roman" w:cs="Times New Roman"/>
          <w:sz w:val="24"/>
          <w:szCs w:val="24"/>
        </w:rPr>
        <w:t>’</w:t>
      </w:r>
      <w:r w:rsidR="003F1199" w:rsidRPr="00DF0105">
        <w:rPr>
          <w:rFonts w:ascii="Times New Roman" w:hAnsi="Times New Roman" w:cs="Times New Roman"/>
          <w:sz w:val="24"/>
          <w:szCs w:val="24"/>
        </w:rPr>
        <w:t xml:space="preserve"> and policymakers’ understanding of outcomes related to nutrition and health. The dataset provide</w:t>
      </w:r>
      <w:r w:rsidR="00CE6F03">
        <w:rPr>
          <w:rFonts w:ascii="Times New Roman" w:hAnsi="Times New Roman" w:cs="Times New Roman"/>
          <w:sz w:val="24"/>
          <w:szCs w:val="24"/>
        </w:rPr>
        <w:t>s</w:t>
      </w:r>
      <w:r w:rsidR="003F1199" w:rsidRPr="00DF0105">
        <w:rPr>
          <w:rFonts w:ascii="Times New Roman" w:hAnsi="Times New Roman" w:cs="Times New Roman"/>
          <w:sz w:val="24"/>
          <w:szCs w:val="24"/>
        </w:rPr>
        <w:t xml:space="preserve"> detailed information on health, nutrition, family planning, morbidity, and mortality and </w:t>
      </w:r>
      <w:r w:rsidR="00CE6F03">
        <w:rPr>
          <w:rFonts w:ascii="Times New Roman" w:hAnsi="Times New Roman" w:cs="Times New Roman"/>
          <w:noProof/>
          <w:sz w:val="24"/>
          <w:szCs w:val="24"/>
        </w:rPr>
        <w:t>is</w:t>
      </w:r>
      <w:r w:rsidR="003F1199" w:rsidRPr="00DF0105">
        <w:rPr>
          <w:rFonts w:ascii="Times New Roman" w:hAnsi="Times New Roman" w:cs="Times New Roman"/>
          <w:sz w:val="24"/>
          <w:szCs w:val="24"/>
        </w:rPr>
        <w:t xml:space="preserve"> readily comparable to DHS</w:t>
      </w:r>
      <w:r w:rsidR="0053149A">
        <w:rPr>
          <w:rFonts w:ascii="Times New Roman" w:hAnsi="Times New Roman" w:cs="Times New Roman"/>
          <w:sz w:val="24"/>
          <w:szCs w:val="24"/>
        </w:rPr>
        <w:t xml:space="preserve"> data</w:t>
      </w:r>
      <w:r w:rsidR="003F1199" w:rsidRPr="00DF0105">
        <w:rPr>
          <w:rFonts w:ascii="Times New Roman" w:hAnsi="Times New Roman" w:cs="Times New Roman"/>
          <w:sz w:val="24"/>
          <w:szCs w:val="24"/>
        </w:rPr>
        <w:t xml:space="preserve"> from other developing and middle-income countries around the world </w:t>
      </w:r>
      <w:r w:rsidR="003F1199" w:rsidRPr="00DF0105">
        <w:rPr>
          <w:rFonts w:ascii="Times New Roman" w:hAnsi="Times New Roman" w:cs="Times New Roman"/>
          <w:sz w:val="24"/>
          <w:szCs w:val="24"/>
        </w:rPr>
        <w:fldChar w:fldCharType="begin" w:fldLock="1"/>
      </w:r>
      <w:r w:rsidR="00B9534E">
        <w:rPr>
          <w:rFonts w:ascii="Times New Roman" w:hAnsi="Times New Roman" w:cs="Times New Roman"/>
          <w:sz w:val="24"/>
          <w:szCs w:val="24"/>
        </w:rPr>
        <w:instrText>ADDIN CSL_CITATION {"citationItems":[{"id":"ITEM-1","itemData":{"author":[{"dropping-particle":"","family":"Coffey","given":"Diane","non-dropping-particle":"","parse-names":false,"suffix":""},{"dropping-particle":"","family":"Spears","given":"Dean","non-dropping-particle":"","parse-names":false,"suffix":""}],"container-title":"Economic and Political Weekly","id":"ITEM-1","issue":"31","issued":{"date-parts":[["2018"]]},"title":"Child Height in India : Facts and Interpretations from the NFHS-4, 2015–16","type":"article-journal","volume":"53"},"uris":["http://www.mendeley.com/documents/?uuid=9463b2ea-5615-34c1-b211-3af88e95f534"]}],"mendeley":{"formattedCitation":"(Coffey &amp; Spears, 2018)","plainTextFormattedCitation":"(Coffey &amp; Spears, 2018)","previouslyFormattedCitation":"(Coffey &amp; Spears, 2018)"},"properties":{"noteIndex":0},"schema":"https://github.com/citation-style-language/schema/raw/master/csl-citation.json"}</w:instrText>
      </w:r>
      <w:r w:rsidR="003F1199" w:rsidRPr="00DF0105">
        <w:rPr>
          <w:rFonts w:ascii="Times New Roman" w:hAnsi="Times New Roman" w:cs="Times New Roman"/>
          <w:sz w:val="24"/>
          <w:szCs w:val="24"/>
        </w:rPr>
        <w:fldChar w:fldCharType="separate"/>
      </w:r>
      <w:r w:rsidR="00FA3222" w:rsidRPr="00FA3222">
        <w:rPr>
          <w:rFonts w:ascii="Times New Roman" w:hAnsi="Times New Roman" w:cs="Times New Roman"/>
          <w:noProof/>
          <w:sz w:val="24"/>
          <w:szCs w:val="24"/>
        </w:rPr>
        <w:t>(Coffey &amp; Spears, 2018)</w:t>
      </w:r>
      <w:r w:rsidR="003F1199" w:rsidRPr="00DF0105">
        <w:rPr>
          <w:rFonts w:ascii="Times New Roman" w:hAnsi="Times New Roman" w:cs="Times New Roman"/>
          <w:sz w:val="24"/>
          <w:szCs w:val="24"/>
        </w:rPr>
        <w:fldChar w:fldCharType="end"/>
      </w:r>
      <w:r w:rsidR="003F1199" w:rsidRPr="00DF0105">
        <w:rPr>
          <w:rFonts w:ascii="Times New Roman" w:hAnsi="Times New Roman" w:cs="Times New Roman"/>
          <w:sz w:val="24"/>
          <w:szCs w:val="24"/>
        </w:rPr>
        <w:t>.</w:t>
      </w:r>
      <w:r w:rsidR="00ED5467">
        <w:rPr>
          <w:rFonts w:ascii="Times New Roman" w:hAnsi="Times New Roman" w:cs="Times New Roman"/>
          <w:sz w:val="24"/>
          <w:szCs w:val="24"/>
        </w:rPr>
        <w:t xml:space="preserve"> </w:t>
      </w:r>
    </w:p>
    <w:p w14:paraId="018B9BA8" w14:textId="77777777" w:rsidR="001C3274" w:rsidRPr="0063364E" w:rsidRDefault="005151F1" w:rsidP="00443B90">
      <w:pPr>
        <w:spacing w:line="360" w:lineRule="auto"/>
        <w:jc w:val="both"/>
        <w:rPr>
          <w:rFonts w:ascii="Times New Roman" w:hAnsi="Times New Roman" w:cs="Times New Roman"/>
          <w:sz w:val="24"/>
          <w:szCs w:val="24"/>
        </w:rPr>
      </w:pPr>
      <w:r>
        <w:rPr>
          <w:rFonts w:ascii="Times New Roman" w:hAnsi="Times New Roman" w:cs="Times New Roman"/>
          <w:sz w:val="24"/>
          <w:szCs w:val="24"/>
        </w:rPr>
        <w:t>Our dependent variable is the body mass index (BMI) of sample women, measured in kg/m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B9534E" w:rsidRPr="00E40471">
        <w:rPr>
          <w:rFonts w:ascii="Times New Roman" w:hAnsi="Times New Roman" w:cs="Times New Roman"/>
          <w:sz w:val="24"/>
          <w:szCs w:val="24"/>
        </w:rPr>
        <w:t xml:space="preserve">According to </w:t>
      </w:r>
      <w:r w:rsidR="00B9534E" w:rsidRPr="00B9534E">
        <w:rPr>
          <w:rFonts w:ascii="Times New Roman" w:hAnsi="Times New Roman" w:cs="Times New Roman"/>
          <w:sz w:val="24"/>
          <w:szCs w:val="24"/>
        </w:rPr>
        <w:t>World Health Organization (WHO) standard</w:t>
      </w:r>
      <w:r w:rsidR="00B9534E" w:rsidRPr="00E40471">
        <w:rPr>
          <w:rFonts w:ascii="Times New Roman" w:hAnsi="Times New Roman" w:cs="Times New Roman"/>
          <w:sz w:val="24"/>
          <w:szCs w:val="24"/>
        </w:rPr>
        <w:t xml:space="preserve">, BMI below 18 is considered thin, BMI between 18 </w:t>
      </w:r>
      <w:r w:rsidR="00B9534E">
        <w:rPr>
          <w:rFonts w:ascii="Times New Roman" w:hAnsi="Times New Roman" w:cs="Times New Roman"/>
          <w:sz w:val="24"/>
          <w:szCs w:val="24"/>
        </w:rPr>
        <w:t>and 25</w:t>
      </w:r>
      <w:r w:rsidR="00B9534E" w:rsidRPr="00E40471">
        <w:rPr>
          <w:rFonts w:ascii="Times New Roman" w:hAnsi="Times New Roman" w:cs="Times New Roman"/>
          <w:sz w:val="24"/>
          <w:szCs w:val="24"/>
        </w:rPr>
        <w:t xml:space="preserve"> is considered normal, BMI between 25 and </w:t>
      </w:r>
      <w:r w:rsidR="00B9534E">
        <w:rPr>
          <w:rFonts w:ascii="Times New Roman" w:hAnsi="Times New Roman" w:cs="Times New Roman"/>
          <w:sz w:val="24"/>
          <w:szCs w:val="24"/>
        </w:rPr>
        <w:t>30</w:t>
      </w:r>
      <w:r w:rsidR="00B9534E" w:rsidRPr="00E40471">
        <w:rPr>
          <w:rFonts w:ascii="Times New Roman" w:hAnsi="Times New Roman" w:cs="Times New Roman"/>
          <w:sz w:val="24"/>
          <w:szCs w:val="24"/>
        </w:rPr>
        <w:t xml:space="preserve"> is considered overweight, and BMI </w:t>
      </w:r>
      <w:r w:rsidR="00410CAF">
        <w:rPr>
          <w:rFonts w:ascii="Times New Roman" w:hAnsi="Times New Roman" w:cs="Times New Roman"/>
          <w:sz w:val="24"/>
          <w:szCs w:val="24"/>
        </w:rPr>
        <w:t xml:space="preserve">over </w:t>
      </w:r>
      <w:r w:rsidR="00B9534E" w:rsidRPr="00E40471">
        <w:rPr>
          <w:rFonts w:ascii="Times New Roman" w:hAnsi="Times New Roman" w:cs="Times New Roman"/>
          <w:sz w:val="24"/>
          <w:szCs w:val="24"/>
        </w:rPr>
        <w:t>30 is considered o</w:t>
      </w:r>
      <w:r w:rsidR="0023305E">
        <w:rPr>
          <w:rFonts w:ascii="Times New Roman" w:hAnsi="Times New Roman" w:cs="Times New Roman"/>
          <w:sz w:val="24"/>
          <w:szCs w:val="24"/>
        </w:rPr>
        <w:t>bese</w:t>
      </w:r>
      <w:r w:rsidR="00B9534E">
        <w:rPr>
          <w:rFonts w:ascii="Times New Roman" w:hAnsi="Times New Roman" w:cs="Times New Roman"/>
          <w:sz w:val="24"/>
          <w:szCs w:val="24"/>
        </w:rPr>
        <w:t xml:space="preserve"> </w:t>
      </w:r>
      <w:r w:rsidR="009F6DF0" w:rsidRPr="00DF0105">
        <w:rPr>
          <w:rFonts w:ascii="Times New Roman" w:hAnsi="Times New Roman" w:cs="Times New Roman"/>
          <w:sz w:val="24"/>
          <w:szCs w:val="24"/>
        </w:rPr>
        <w:fldChar w:fldCharType="begin" w:fldLock="1"/>
      </w:r>
      <w:r w:rsidR="00B9534E">
        <w:rPr>
          <w:rFonts w:ascii="Times New Roman" w:hAnsi="Times New Roman" w:cs="Times New Roman"/>
          <w:sz w:val="24"/>
          <w:szCs w:val="24"/>
        </w:rPr>
        <w:instrText>ADDIN CSL_CITATION {"citationItems":[{"id":"ITEM-1","itemData":{"abstract":"Overweight and obesity represent a rapidly growing threat to the health of populations in an increasing number of countries. Indeed they are now so common that they are replacing more traditional problems such as undernutrition and infectious diseases as the most significant causes of ill-health. Obesity comorbidities include coronary heart disease, hypertension and stroke, certain types of cancer, non-insulin-dependent diabetes, mellitus, gallbladder disease, dyslipidaemia, osteoarthritis and gout, and pulmonary diseases, including sleep apnoea. In addition, the obese suffer from social bias, prejudice and discrimination, on the part not only of the general public but also of health professionals, and this may make them reluctant to seek medical assistance. WHO therefore convened a Consultation on obesity to review current epidemiological information, contributing factors and associated consequences, and this report presents its conclusions and recommendations. In particular, the Consultation considered the system for classifying overweight and obesity based on the body mass index, and concluded that a coherent system is now available and should be adopted internationally.","author":[{"dropping-particle":"","family":"World Health Organization","given":"","non-dropping-particle":"","parse-names":false,"suffix":""}],"id":"ITEM-1","issued":{"date-parts":[["2000"]]},"publisher":"World Health Organization","title":"Obesity : preventing and managing the global epidemic : report of a WHO consultation.","type":"report"},"uris":["http://www.mendeley.com/documents/?uuid=33270d7f-d5e7-3d40-a358-6cf378d6b9cd"]}],"mendeley":{"formattedCitation":"(World Health Organization, 2000)","plainTextFormattedCitation":"(World Health Organization, 2000)","previouslyFormattedCitation":"(10)"},"properties":{"noteIndex":0},"schema":"https://github.com/citation-style-language/schema/raw/master/csl-citation.json"}</w:instrText>
      </w:r>
      <w:r w:rsidR="009F6DF0" w:rsidRPr="00DF0105">
        <w:rPr>
          <w:rFonts w:ascii="Times New Roman" w:hAnsi="Times New Roman" w:cs="Times New Roman"/>
          <w:sz w:val="24"/>
          <w:szCs w:val="24"/>
        </w:rPr>
        <w:fldChar w:fldCharType="separate"/>
      </w:r>
      <w:r w:rsidR="00B9534E" w:rsidRPr="00B9534E">
        <w:rPr>
          <w:rFonts w:ascii="Times New Roman" w:hAnsi="Times New Roman" w:cs="Times New Roman"/>
          <w:noProof/>
          <w:sz w:val="24"/>
          <w:szCs w:val="24"/>
        </w:rPr>
        <w:t>(World Health Organization, 2000)</w:t>
      </w:r>
      <w:r w:rsidR="009F6DF0" w:rsidRPr="00DF0105">
        <w:rPr>
          <w:rFonts w:ascii="Times New Roman" w:hAnsi="Times New Roman" w:cs="Times New Roman"/>
          <w:sz w:val="24"/>
          <w:szCs w:val="24"/>
        </w:rPr>
        <w:fldChar w:fldCharType="end"/>
      </w:r>
      <w:r w:rsidR="005037E7">
        <w:rPr>
          <w:rFonts w:ascii="Times New Roman" w:hAnsi="Times New Roman" w:cs="Times New Roman"/>
          <w:sz w:val="24"/>
          <w:szCs w:val="24"/>
        </w:rPr>
        <w:t>.</w:t>
      </w:r>
      <w:r w:rsidR="0063364E">
        <w:rPr>
          <w:rFonts w:ascii="Times New Roman" w:hAnsi="Times New Roman" w:cs="Times New Roman"/>
          <w:sz w:val="24"/>
          <w:szCs w:val="24"/>
        </w:rPr>
        <w:t xml:space="preserve"> </w:t>
      </w:r>
      <w:r w:rsidR="009F6DF0" w:rsidRPr="00DF0105">
        <w:rPr>
          <w:rFonts w:ascii="Times New Roman" w:hAnsi="Times New Roman" w:cs="Times New Roman"/>
          <w:sz w:val="24"/>
          <w:szCs w:val="24"/>
        </w:rPr>
        <w:t>Indians, and more generally Asians</w:t>
      </w:r>
      <w:r w:rsidR="005037E7">
        <w:rPr>
          <w:rFonts w:ascii="Times New Roman" w:hAnsi="Times New Roman" w:cs="Times New Roman"/>
          <w:sz w:val="24"/>
          <w:szCs w:val="24"/>
        </w:rPr>
        <w:t>,</w:t>
      </w:r>
      <w:r w:rsidR="009F6DF0" w:rsidRPr="00DF0105">
        <w:rPr>
          <w:rFonts w:ascii="Times New Roman" w:hAnsi="Times New Roman" w:cs="Times New Roman"/>
          <w:sz w:val="24"/>
          <w:szCs w:val="24"/>
        </w:rPr>
        <w:t xml:space="preserve"> are more vulnerable to obesity-related NCDs</w:t>
      </w:r>
      <w:r w:rsidR="009F6DF0">
        <w:rPr>
          <w:rFonts w:ascii="Times New Roman" w:hAnsi="Times New Roman" w:cs="Times New Roman"/>
          <w:sz w:val="24"/>
          <w:szCs w:val="24"/>
        </w:rPr>
        <w:t xml:space="preserve">, facing </w:t>
      </w:r>
      <w:r w:rsidR="009F6DF0" w:rsidRPr="00DF0105">
        <w:rPr>
          <w:rFonts w:ascii="Times New Roman" w:hAnsi="Times New Roman" w:cs="Times New Roman"/>
          <w:sz w:val="24"/>
          <w:szCs w:val="24"/>
        </w:rPr>
        <w:t xml:space="preserve">a </w:t>
      </w:r>
      <w:r w:rsidR="009F6DF0" w:rsidRPr="00DF0105">
        <w:rPr>
          <w:rFonts w:ascii="Times New Roman" w:hAnsi="Times New Roman" w:cs="Times New Roman"/>
          <w:noProof/>
          <w:sz w:val="24"/>
          <w:szCs w:val="24"/>
        </w:rPr>
        <w:t>higher</w:t>
      </w:r>
      <w:r w:rsidR="009F6DF0" w:rsidRPr="00DF0105">
        <w:rPr>
          <w:rFonts w:ascii="Times New Roman" w:hAnsi="Times New Roman" w:cs="Times New Roman"/>
          <w:sz w:val="24"/>
          <w:szCs w:val="24"/>
        </w:rPr>
        <w:t xml:space="preserve"> risk at</w:t>
      </w:r>
      <w:r w:rsidR="009F6DF0">
        <w:rPr>
          <w:rFonts w:ascii="Times New Roman" w:hAnsi="Times New Roman" w:cs="Times New Roman"/>
          <w:sz w:val="24"/>
          <w:szCs w:val="24"/>
        </w:rPr>
        <w:t xml:space="preserve"> BMI</w:t>
      </w:r>
      <w:r w:rsidR="009F6DF0" w:rsidRPr="00DF0105">
        <w:rPr>
          <w:rFonts w:ascii="Times New Roman" w:hAnsi="Times New Roman" w:cs="Times New Roman"/>
          <w:sz w:val="24"/>
          <w:szCs w:val="24"/>
        </w:rPr>
        <w:t xml:space="preserve"> levels below the standard cut off of 25 kg/</w:t>
      </w:r>
      <w:r w:rsidR="009F6DF0" w:rsidRPr="00DF0105">
        <w:rPr>
          <w:rFonts w:ascii="Times New Roman" w:eastAsia="Times New Roman" w:hAnsi="Times New Roman" w:cs="Times New Roman"/>
          <w:bCs/>
          <w:color w:val="000000"/>
          <w:sz w:val="24"/>
          <w:szCs w:val="24"/>
          <w:lang w:eastAsia="en-IN"/>
        </w:rPr>
        <w:t>m</w:t>
      </w:r>
      <w:r w:rsidR="009F6DF0" w:rsidRPr="00DF0105">
        <w:rPr>
          <w:rFonts w:ascii="Times New Roman" w:eastAsia="Times New Roman" w:hAnsi="Times New Roman" w:cs="Times New Roman"/>
          <w:bCs/>
          <w:color w:val="000000"/>
          <w:sz w:val="24"/>
          <w:szCs w:val="24"/>
          <w:vertAlign w:val="superscript"/>
          <w:lang w:eastAsia="en-IN"/>
        </w:rPr>
        <w:t>2</w:t>
      </w:r>
      <w:r w:rsidR="009F6DF0" w:rsidRPr="00DF0105">
        <w:rPr>
          <w:rFonts w:ascii="Times New Roman" w:hAnsi="Times New Roman" w:cs="Times New Roman"/>
          <w:sz w:val="24"/>
          <w:szCs w:val="24"/>
        </w:rPr>
        <w:t xml:space="preserve"> </w:t>
      </w:r>
      <w:r w:rsidR="009F6DF0" w:rsidRPr="00DF0105">
        <w:rPr>
          <w:rFonts w:ascii="Times New Roman" w:hAnsi="Times New Roman" w:cs="Times New Roman"/>
          <w:sz w:val="24"/>
          <w:szCs w:val="24"/>
        </w:rPr>
        <w:fldChar w:fldCharType="begin" w:fldLock="1"/>
      </w:r>
      <w:r w:rsidR="00B9534E">
        <w:rPr>
          <w:rFonts w:ascii="Times New Roman" w:hAnsi="Times New Roman" w:cs="Times New Roman"/>
          <w:sz w:val="24"/>
          <w:szCs w:val="24"/>
        </w:rPr>
        <w:instrText>ADDIN CSL_CITATION {"citationItems":[{"id":"ITEM-1","itemData":{"author":[{"dropping-particle":"","family":"Popkin","given":"Barry M","non-dropping-particle":"","parse-names":false,"suffix":""},{"dropping-particle":"","family":"Adair","given":"Linda S","non-dropping-particle":"","parse-names":false,"suffix":""},{"dropping-particle":"","family":"Ng","given":"Shu Wen","non-dropping-particle":"","parse-names":false,"suffix":""}],"container-title":"Nutrition Review","id":"ITEM-1","issue":"1","issued":{"date-parts":[["2012"]]},"page":"3-21","title":"The Global Nutrition Transition: The Pandemic of Obesity in Developing Countries","type":"article-journal","volume":"70"},"uris":["http://www.mendeley.com/documents/?uuid=49b4c5f7-71b0-4977-bcb8-0dd61e38af3b"]}],"mendeley":{"formattedCitation":"(Popkin, Adair, &amp; Ng, 2012)","plainTextFormattedCitation":"(Popkin, Adair, &amp; Ng, 2012)","previouslyFormattedCitation":"(4)"},"properties":{"noteIndex":0},"schema":"https://github.com/citation-style-language/schema/raw/master/csl-citation.json"}</w:instrText>
      </w:r>
      <w:r w:rsidR="009F6DF0" w:rsidRPr="00DF0105">
        <w:rPr>
          <w:rFonts w:ascii="Times New Roman" w:hAnsi="Times New Roman" w:cs="Times New Roman"/>
          <w:sz w:val="24"/>
          <w:szCs w:val="24"/>
        </w:rPr>
        <w:fldChar w:fldCharType="separate"/>
      </w:r>
      <w:r w:rsidR="00B9534E" w:rsidRPr="00B9534E">
        <w:rPr>
          <w:rFonts w:ascii="Times New Roman" w:hAnsi="Times New Roman" w:cs="Times New Roman"/>
          <w:noProof/>
          <w:sz w:val="24"/>
          <w:szCs w:val="24"/>
        </w:rPr>
        <w:t>(Popkin, Adair, &amp; Ng, 2012)</w:t>
      </w:r>
      <w:r w:rsidR="009F6DF0" w:rsidRPr="00DF0105">
        <w:rPr>
          <w:rFonts w:ascii="Times New Roman" w:hAnsi="Times New Roman" w:cs="Times New Roman"/>
          <w:sz w:val="24"/>
          <w:szCs w:val="24"/>
        </w:rPr>
        <w:fldChar w:fldCharType="end"/>
      </w:r>
      <w:r w:rsidR="009F6DF0" w:rsidRPr="00DF0105">
        <w:rPr>
          <w:rFonts w:ascii="Times New Roman" w:hAnsi="Times New Roman" w:cs="Times New Roman"/>
          <w:sz w:val="24"/>
          <w:szCs w:val="24"/>
        </w:rPr>
        <w:t>. BMI above 23 kg/</w:t>
      </w:r>
      <w:r w:rsidR="009F6DF0" w:rsidRPr="00DF0105">
        <w:rPr>
          <w:rFonts w:ascii="Times New Roman" w:eastAsia="Times New Roman" w:hAnsi="Times New Roman" w:cs="Times New Roman"/>
          <w:bCs/>
          <w:color w:val="000000"/>
          <w:sz w:val="24"/>
          <w:szCs w:val="24"/>
          <w:lang w:eastAsia="en-IN"/>
        </w:rPr>
        <w:t>m</w:t>
      </w:r>
      <w:r w:rsidR="009F6DF0" w:rsidRPr="00DF0105">
        <w:rPr>
          <w:rFonts w:ascii="Times New Roman" w:eastAsia="Times New Roman" w:hAnsi="Times New Roman" w:cs="Times New Roman"/>
          <w:bCs/>
          <w:color w:val="000000"/>
          <w:sz w:val="24"/>
          <w:szCs w:val="24"/>
          <w:vertAlign w:val="superscript"/>
          <w:lang w:eastAsia="en-IN"/>
        </w:rPr>
        <w:t xml:space="preserve">2 </w:t>
      </w:r>
      <w:r w:rsidR="009F6DF0" w:rsidRPr="00DF0105">
        <w:rPr>
          <w:rFonts w:ascii="Times New Roman" w:eastAsia="Times New Roman" w:hAnsi="Times New Roman" w:cs="Times New Roman"/>
          <w:bCs/>
          <w:color w:val="000000"/>
          <w:sz w:val="24"/>
          <w:szCs w:val="24"/>
          <w:lang w:eastAsia="en-IN"/>
        </w:rPr>
        <w:t xml:space="preserve">is now recognized as overweight and BMI above 25 </w:t>
      </w:r>
      <w:r w:rsidR="009F6DF0" w:rsidRPr="00DF0105">
        <w:rPr>
          <w:rFonts w:ascii="Times New Roman" w:hAnsi="Times New Roman" w:cs="Times New Roman"/>
          <w:sz w:val="24"/>
          <w:szCs w:val="24"/>
        </w:rPr>
        <w:t>kg/</w:t>
      </w:r>
      <w:r w:rsidR="009F6DF0" w:rsidRPr="00DF0105">
        <w:rPr>
          <w:rFonts w:ascii="Times New Roman" w:eastAsia="Times New Roman" w:hAnsi="Times New Roman" w:cs="Times New Roman"/>
          <w:bCs/>
          <w:color w:val="000000"/>
          <w:sz w:val="24"/>
          <w:szCs w:val="24"/>
          <w:lang w:eastAsia="en-IN"/>
        </w:rPr>
        <w:t>m</w:t>
      </w:r>
      <w:r w:rsidR="009F6DF0" w:rsidRPr="00DF0105">
        <w:rPr>
          <w:rFonts w:ascii="Times New Roman" w:eastAsia="Times New Roman" w:hAnsi="Times New Roman" w:cs="Times New Roman"/>
          <w:bCs/>
          <w:color w:val="000000"/>
          <w:sz w:val="24"/>
          <w:szCs w:val="24"/>
          <w:vertAlign w:val="superscript"/>
          <w:lang w:eastAsia="en-IN"/>
        </w:rPr>
        <w:t xml:space="preserve">2 </w:t>
      </w:r>
      <w:r w:rsidR="009F6DF0" w:rsidRPr="00DF0105">
        <w:rPr>
          <w:rFonts w:ascii="Times New Roman" w:eastAsia="Times New Roman" w:hAnsi="Times New Roman" w:cs="Times New Roman"/>
          <w:bCs/>
          <w:color w:val="000000"/>
          <w:sz w:val="24"/>
          <w:szCs w:val="24"/>
          <w:lang w:eastAsia="en-IN"/>
        </w:rPr>
        <w:t xml:space="preserve">as obese among the </w:t>
      </w:r>
      <w:r w:rsidR="0063364E">
        <w:rPr>
          <w:rFonts w:ascii="Times New Roman" w:eastAsia="Times New Roman" w:hAnsi="Times New Roman" w:cs="Times New Roman"/>
          <w:bCs/>
          <w:color w:val="000000"/>
          <w:sz w:val="24"/>
          <w:szCs w:val="24"/>
          <w:lang w:eastAsia="en-IN"/>
        </w:rPr>
        <w:t>Indian</w:t>
      </w:r>
      <w:r w:rsidR="009F6DF0" w:rsidRPr="00DF0105">
        <w:rPr>
          <w:rFonts w:ascii="Times New Roman" w:eastAsia="Times New Roman" w:hAnsi="Times New Roman" w:cs="Times New Roman"/>
          <w:bCs/>
          <w:color w:val="000000"/>
          <w:sz w:val="24"/>
          <w:szCs w:val="24"/>
          <w:lang w:eastAsia="en-IN"/>
        </w:rPr>
        <w:t xml:space="preserve"> population </w:t>
      </w:r>
      <w:r w:rsidR="009F6DF0" w:rsidRPr="00DF0105">
        <w:rPr>
          <w:rFonts w:ascii="Times New Roman" w:eastAsia="Times New Roman" w:hAnsi="Times New Roman" w:cs="Times New Roman"/>
          <w:bCs/>
          <w:color w:val="000000"/>
          <w:sz w:val="24"/>
          <w:szCs w:val="24"/>
          <w:lang w:eastAsia="en-IN"/>
        </w:rPr>
        <w:fldChar w:fldCharType="begin" w:fldLock="1"/>
      </w:r>
      <w:r w:rsidR="00B9534E">
        <w:rPr>
          <w:rFonts w:ascii="Times New Roman" w:eastAsia="Times New Roman" w:hAnsi="Times New Roman" w:cs="Times New Roman"/>
          <w:bCs/>
          <w:color w:val="000000"/>
          <w:sz w:val="24"/>
          <w:szCs w:val="24"/>
          <w:lang w:eastAsia="en-IN"/>
        </w:rPr>
        <w:instrText>ADDIN CSL_CITATION {"citationItems":[{"id":"ITEM-1","itemData":{"abstract":"A WHO expert consultation addressed the debate about interpretation of recommended body-mass index (BMI) cut-off points for determining overweight and obesity in Asian populations, and considered whether population-specific cut-off points for BMI are necessary. They reviewed scientific evidence that suggests that Asian populations have different associations between BMI, percentage of body fat, and health risks than do European populations. The consultation concluded that the proportion of Asian people with a high risk of type 2 diabetes and cardiovascular disease is substantial at BMIs lower than the existing WHO cut-off point for overweight (&gt; or =25 kg/m2). However, available data do not necessarily indicate a clear BMI cut-off point for all Asians for overweight or obesity. The cut-off point for observed risk varies from 22 kg/m2 to 25 kg/m2 in different Asian populations; for high risk it varies from 26 kg/m2 to 31 kg/m2. No attempt was made, therefore, to redefine cut-off points for each population separately. The consultation also agreed that the WHO BMI cut-off points should be retained as international classifications. The consultation identified further potential public health action points (23.0, 27.5, 32.5, and 37.5 kg/m2) along the continuum of BMI, and proposed methods by which countries could make decisions about the definitions of increased risk for their population.","author":[{"dropping-particle":"","family":"WHO Expert Consultation","given":"","non-dropping-particle":"","parse-names":false,"suffix":""}],"container-title":"The Lancet","id":"ITEM-1","issue":"9403","issued":{"date-parts":[["2004"]]},"page":"157-163","title":"Appropriate body-mass index for Asian populations and its implications for policy and intervention strategies","type":"article-journal","volume":"363"},"uris":["http://www.mendeley.com/documents/?uuid=c2dfd503-23f4-362e-ac97-1cd0b91f47f3"]},{"id":"ITEM-2","itemData":{"abstract":"BACKGROUND Few studies have allowed direct comparison of the association between body mass index (BMI; in kg/m2) and hypertension in different Asian ethnicities. OBJECTIVE We compared the association of BMI with hypertension in Chinese, Indonesian, and Vietnamese adults and determined BMI cutoffs that best predicted hypertension in these populations. DESIGN We included 7562 Chinese, 18,502 Indonesian, and 77,758 Vietnamese participants aged 18-65 y. Blood pressure, weight, and height were measured by trained health workers. To define an optimal BMI cutoff, we computed and searched for the shortest distance on receiver operating characteristic curves. RESULTS Despite a low mean BMI, the prevalences of hypertension in Chinese, Indonesian, and Vietnamese men were 22.9%, 24.8%, and 14.4%, respectively, and in women were 16.6%, 26.9%, and 11.7%, respectively. At all BMI levels, the sex-specific prevalence of hypertension was higher in Indonesian adults than in Chinese and Vietnamese adults (P &lt; 0.05 at almost all BMI levels). The overall and stratified analyses suggested optimal BMI cutoffs of 23-24, 21-22.5, and 20.5-21 for Chinese, Indonesian, and Vietnamese adults, respectively. The cutoffs were approximately 0.5-1.0 units higher in women than in men and in the older (41-65 y) than in the younger (18-40 y) participants. CONCLUSIONS The study showed an ethnic difference in the BMI-hypertension association and in optimal BMI cutoffs between Chinese, Indonesian, and Vietnamese adults. Country-specific or even country-, sex-, and age-specific BMI cutoffs might be needed to identify persons at high risk of cardiovascular diseases.","author":[{"dropping-particle":"","family":"Nguyen","given":"Tuan T","non-dropping-particle":"","parse-names":false,"suffix":""},{"dropping-particle":"","family":"Adair","given":"Linda S","non-dropping-particle":"","parse-names":false,"suffix":""},{"dropping-particle":"","family":"Suchindran","given":"Chirayath M","non-dropping-particle":"","parse-names":false,"suffix":""},{"dropping-particle":"","family":"He","given":"Ka","non-dropping-particle":"","parse-names":false,"suffix":""},{"dropping-particle":"","family":"Popkin","given":"Barry M","non-dropping-particle":"","parse-names":false,"suffix":""}],"container-title":"The American journal of clinical nutrition","id":"ITEM-2","issue":"6","issued":{"date-parts":[["2009"]]},"page":"1905-12","title":"The association between body mass index and hypertension is different between East and Southeast Asians.","type":"article-journal","volume":"89"},"uris":["http://www.mendeley.com/documents/?uuid=dde741de-9230-3fba-a29b-9f5cf9fe7bae"]},{"id":"ITEM-3","itemData":{"abstract":"BACKGROUND The body mass index (BMI) categories for Asian Indians has been revised based on consensus guidelines. The revised guidelines categorize overweight as a BMI of 23.0 - 24.9 and obesity as a BMI≥25. AIM To determine the change in prevalence of overweight and obese pregnant women, and maternal and fetal associations with overweight and obese pregnant women classified using the revised consensus guidelines for BMI in Asian Indians. MATERIALS AND METHODS A retrospective analysis of case records of pregnant women between January 2010 and December 2012 at a tertiary care institute in India. BMI was classified using the revised consensus guidelines for Asian Indians and the World Health Organization (WHO) criteria. The strength and direction of associations with maternal and fetal outcomes was explored with a multivariate regression model. RESULTS The prevalence of obesity increased from 11.81% with the WHO criteria to 43.11% with the revised consensus guidelines and led to the re-classification of 1,345 (18.47%) pregnant women from a low risk category to a high risk category.Gestational hypertension, gestational diabetes and large for gestational age babies was associated with overweight or obesity (both Indian and WHO guidelines). Obesity (both Indian and WHO guidelines) was also significantly associated with caesarean sections (adjusted OR 1.23 and 1.51 respectively). CONCLUSION The use of the revised guidelines led to a larger classification of high risk Asian Indian pregnant women. Retention of adverse associations of overweight and obesity support adoption of the revised guidelines in obstetric management of Asian Indians.","author":[{"dropping-particle":"","family":"Aziz","given":"Nuzhat","non-dropping-particle":"","parse-names":false,"suffix":""},{"dropping-particle":"","family":"Kallur","given":"Sailaja Devi","non-dropping-particle":"","parse-names":false,"suffix":""},{"dropping-particle":"","family":"Nirmalan","given":"Praveen Kumar","non-dropping-particle":"","parse-names":false,"suffix":""}],"container-title":"Journal of clinical and diagnostic research","id":"ITEM-3","issued":{"date-parts":[["2014"]]},"title":"Implications of the revised consensus body mass indices for asian indians on clinical obstetric practice.","type":"article-journal","volume":"8"},"uris":["http://www.mendeley.com/documents/?uuid=a9817f79-675f-31ac-93ea-24e618cabf32"]}],"mendeley":{"formattedCitation":"(Aziz, Kallur, &amp; Nirmalan, 2014; Nguyen, Adair, Suchindran, He, &amp; Popkin, 2009; WHO Expert Consultation, 2004)","plainTextFormattedCitation":"(Aziz, Kallur, &amp; Nirmalan, 2014; Nguyen, Adair, Suchindran, He, &amp; Popkin, 2009; WHO Expert Consultation, 2004)","previouslyFormattedCitation":"(12–14)"},"properties":{"noteIndex":0},"schema":"https://github.com/citation-style-language/schema/raw/master/csl-citation.json"}</w:instrText>
      </w:r>
      <w:r w:rsidR="009F6DF0" w:rsidRPr="00DF0105">
        <w:rPr>
          <w:rFonts w:ascii="Times New Roman" w:eastAsia="Times New Roman" w:hAnsi="Times New Roman" w:cs="Times New Roman"/>
          <w:bCs/>
          <w:color w:val="000000"/>
          <w:sz w:val="24"/>
          <w:szCs w:val="24"/>
          <w:lang w:eastAsia="en-IN"/>
        </w:rPr>
        <w:fldChar w:fldCharType="separate"/>
      </w:r>
      <w:r w:rsidR="00B9534E" w:rsidRPr="00B9534E">
        <w:rPr>
          <w:rFonts w:ascii="Times New Roman" w:eastAsia="Times New Roman" w:hAnsi="Times New Roman" w:cs="Times New Roman"/>
          <w:bCs/>
          <w:noProof/>
          <w:color w:val="000000"/>
          <w:sz w:val="24"/>
          <w:szCs w:val="24"/>
          <w:lang w:eastAsia="en-IN"/>
        </w:rPr>
        <w:t>(Aziz, Kallur, &amp; Nirmalan, 2014; Nguyen, Adair, Suchindran, He, &amp; Popkin, 2009; WHO Expert Consultation, 2004)</w:t>
      </w:r>
      <w:r w:rsidR="009F6DF0" w:rsidRPr="00DF0105">
        <w:rPr>
          <w:rFonts w:ascii="Times New Roman" w:eastAsia="Times New Roman" w:hAnsi="Times New Roman" w:cs="Times New Roman"/>
          <w:bCs/>
          <w:color w:val="000000"/>
          <w:sz w:val="24"/>
          <w:szCs w:val="24"/>
          <w:lang w:eastAsia="en-IN"/>
        </w:rPr>
        <w:fldChar w:fldCharType="end"/>
      </w:r>
      <w:r w:rsidR="009F6DF0" w:rsidRPr="00DF0105">
        <w:rPr>
          <w:rFonts w:ascii="Times New Roman" w:eastAsia="Times New Roman" w:hAnsi="Times New Roman" w:cs="Times New Roman"/>
          <w:bCs/>
          <w:color w:val="000000"/>
          <w:sz w:val="24"/>
          <w:szCs w:val="24"/>
          <w:lang w:eastAsia="en-IN"/>
        </w:rPr>
        <w:t>.</w:t>
      </w:r>
    </w:p>
    <w:p w14:paraId="63DF2910" w14:textId="77777777" w:rsidR="00B84693"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measure intrahousehold status by </w:t>
      </w:r>
      <w:r w:rsidR="00B84693">
        <w:rPr>
          <w:rFonts w:ascii="Times New Roman" w:hAnsi="Times New Roman" w:cs="Times New Roman"/>
          <w:sz w:val="24"/>
          <w:szCs w:val="24"/>
        </w:rPr>
        <w:t>an</w:t>
      </w:r>
      <w:r>
        <w:rPr>
          <w:rFonts w:ascii="Times New Roman" w:hAnsi="Times New Roman" w:cs="Times New Roman"/>
          <w:sz w:val="24"/>
          <w:szCs w:val="24"/>
        </w:rPr>
        <w:t xml:space="preserve"> exogenously determined indicator</w:t>
      </w:r>
      <w:r w:rsidR="00B84693">
        <w:rPr>
          <w:rFonts w:ascii="Times New Roman" w:hAnsi="Times New Roman" w:cs="Times New Roman"/>
          <w:sz w:val="24"/>
          <w:szCs w:val="24"/>
        </w:rPr>
        <w:t xml:space="preserve">: </w:t>
      </w:r>
      <w:r w:rsidR="00B13F46">
        <w:rPr>
          <w:rFonts w:ascii="Times New Roman" w:hAnsi="Times New Roman" w:cs="Times New Roman"/>
          <w:sz w:val="24"/>
          <w:szCs w:val="24"/>
        </w:rPr>
        <w:t xml:space="preserve">first-born child’s sex. </w:t>
      </w:r>
      <w:r>
        <w:rPr>
          <w:rFonts w:ascii="Times New Roman" w:hAnsi="Times New Roman" w:cs="Times New Roman"/>
          <w:sz w:val="24"/>
          <w:szCs w:val="24"/>
        </w:rPr>
        <w:t xml:space="preserve">Having a male first-born child is associated with higher status in a culture that prefers sons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Clark","given":"Shelley","non-dropping-particle":"","parse-names":false,"suffix":""}],"container-title":"Demography","id":"ITEM-1","issue":"1","issued":{"date-parts":[["2000","2"]]},"page":"95","publisher":"Springer-Verlag","title":"Son Preference and Sex Composition of Children: Evidence from India","type":"article-journal","volume":"37"},"uris":["http://www.mendeley.com/documents/?uuid=d943a325-b796-33cd-886f-92e8becad45a"]},{"id":"ITEM-2","itemData":{"abstract":"We investigate whether legislation of equal inheritance rights for women modifies the historic preference for sons in India, and find that it exacerbates it. Children born after the reform in families with a firstborn daughter are 3.8–4.3 percentage points less likely to be girls, indicating that the reform encouraged female foeticide. We also find that the reform increased excess female infant mortality and son-biased fertility stopping. This suggests that the inheritance reform raised the costs of having daughters, consistent with which we document an increase in stated son preference in fertility post reform. We conclude that this is a case where legal reform was frustrated by persistence of cultural norms. We provide some suggestive evidence of slowly changing patrilocality norms.","author":[{"dropping-particle":"","family":"Bhalotra","given":"Sonia","non-dropping-particle":"","parse-names":false,"suffix":""},{"dropping-particle":"","family":"Brulé","given":"Rachel","non-dropping-particle":"","parse-names":false,"suffix":""},{"dropping-particle":"","family":"Roy","given":"Sanchari","non-dropping-particle":"","parse-names":false,"suffix":""}],"container-title":"Journal of Development Economics","id":"ITEM-2","issued":{"date-parts":[["2018","8","10"]]},"title":"Women's inheritance rights reform and the preference for sons in India","type":"article-journal"},"uris":["http://www.mendeley.com/documents/?uuid=b1faf2e7-02cd-317f-9c56-3bd5ed5ae505"]}],"mendeley":{"formattedCitation":"(S. Bhalotra, Brulé, &amp; Roy, 2018; Clark, 2000)","plainTextFormattedCitation":"(S. Bhalotra, Brulé, &amp; Roy, 2018; Clark, 2000)","previouslyFormattedCitation":"(S. Bhalotra, Brulé, &amp; Roy, 2018; Clark, 2000)"},"properties":{"noteIndex":0},"schema":"https://github.com/citation-style-language/schema/raw/master/csl-citation.json"}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(S. Bhalotra, Brulé, &amp; Roy, 2018; Clark, 2000)</w:t>
      </w:r>
      <w:r>
        <w:rPr>
          <w:rFonts w:ascii="Times New Roman" w:hAnsi="Times New Roman" w:cs="Times New Roman"/>
          <w:sz w:val="24"/>
          <w:szCs w:val="24"/>
        </w:rPr>
        <w:fldChar w:fldCharType="end"/>
      </w:r>
      <w:r>
        <w:rPr>
          <w:rFonts w:ascii="Times New Roman" w:hAnsi="Times New Roman" w:cs="Times New Roman"/>
          <w:sz w:val="24"/>
          <w:szCs w:val="24"/>
        </w:rPr>
        <w:t xml:space="preserve">. Previous studies have also shown that women whose first child is male have higher intrahousehold status and greater BMI than women whose first child is female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{"citationItems":[{"id":"ITEM-1","itemData":{"author":[{"dropping-particle":"","family":"Milazzo","given":"Annamaria","non-dropping-particle":"","parse-names":false,"suffix":""}],"container-title":"Journal of Development Economics","id":"ITEM-1","issued":{"date-parts":[["2018","9"]]},"page":"467-484","title":"Why are adult women missing? Son preference and maternal survival in India","type":"article-journal","volume":"134"},"uris":["http://www.mendeley.com/documents/?uuid=9ce57a7d-3e7f-32df-a329-fff6518f67a5"]},{"id":"ITEM-2","itemData":{"author":[{"dropping-particle":"","family":"Kishore","given":"Avinash","non-dropping-particle":"","parse-names":false,"suffix":""},{"dropping-particle":"","family":"Spears","given":"Dean","non-dropping-particle":"","parse-names":false,"suffix":""}],"container-title":"Economic Development and Cultural Change","id":"ITEM-2","issued":{"date-parts":[["2014"]]},"title":"Having a Son Promotes Clean Cooking Fuel Use in Urban India : Women ’ s Status and Son Preference","type":"article-journal"},"uris":["http://www.mendeley.com/documents/?uuid=e885bec3-9301-4ecf-a84d-c524378b11de"]}],"mendeley":{"formattedCitation":"(Kishore &amp; Spears, 2014; Milazzo, 2018)","plainTextFormattedCitation":"(Kishore &amp; Spears, 2014; Milazzo, 2018)","previouslyFormattedCitation":"(Kishore &amp; Spears, 2014; Milazzo, 2018)"},"properties":{"noteIndex":0},"schema":"https://github.com/citation-style-language/schema/raw/master/csl-citation.json"}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(Kishore &amp; Spears, 2014; Milazzo,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3372B07" w14:textId="3C240B5F"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We re-examine the relationship between status and BMI, departing from the</w:t>
      </w:r>
      <w:r w:rsidR="009D2210">
        <w:rPr>
          <w:rFonts w:ascii="Times New Roman" w:hAnsi="Times New Roman" w:cs="Times New Roman"/>
          <w:sz w:val="24"/>
          <w:szCs w:val="24"/>
        </w:rPr>
        <w:t xml:space="preserve"> </w:t>
      </w:r>
      <w:r>
        <w:rPr>
          <w:rFonts w:ascii="Times New Roman" w:hAnsi="Times New Roman" w:cs="Times New Roman"/>
          <w:sz w:val="24"/>
          <w:szCs w:val="24"/>
        </w:rPr>
        <w:t xml:space="preserve">commonly held belief that status-led increase in BMI is desirable for women’s health. It may be desirable for women at below-normal BMI levels, but is detrimental </w:t>
      </w:r>
      <w:r w:rsidR="000D5B4F">
        <w:rPr>
          <w:rFonts w:ascii="Times New Roman" w:hAnsi="Times New Roman" w:cs="Times New Roman"/>
          <w:sz w:val="24"/>
          <w:szCs w:val="24"/>
        </w:rPr>
        <w:t xml:space="preserve">to </w:t>
      </w:r>
      <w:r>
        <w:rPr>
          <w:rFonts w:ascii="Times New Roman" w:hAnsi="Times New Roman" w:cs="Times New Roman"/>
          <w:sz w:val="24"/>
          <w:szCs w:val="24"/>
        </w:rPr>
        <w:t xml:space="preserve">women with high </w:t>
      </w:r>
      <w:r>
        <w:rPr>
          <w:rFonts w:ascii="Times New Roman" w:hAnsi="Times New Roman" w:cs="Times New Roman"/>
          <w:noProof/>
          <w:sz w:val="24"/>
          <w:szCs w:val="24"/>
        </w:rPr>
        <w:t>BMI</w:t>
      </w:r>
      <w:r>
        <w:rPr>
          <w:rFonts w:ascii="Times New Roman" w:hAnsi="Times New Roman" w:cs="Times New Roman"/>
          <w:sz w:val="24"/>
          <w:szCs w:val="24"/>
        </w:rPr>
        <w:t xml:space="preserve"> who are either already overweight/obese or at the margins. </w:t>
      </w:r>
    </w:p>
    <w:p w14:paraId="767A4CCF" w14:textId="4DD50265"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Kishore","given":"Avinash","non-dropping-particle":"","parse-names":false,"suffix":""},{"dropping-particle":"","family":"Spears","given":"Dean","non-dropping-particle":"","parse-names":false,"suffix":""}],"container-title":"Economic Development and Cultural Change","id":"ITEM-1","issued":{"date-parts":[["2014"]]},"title":"Having a Son Promotes Clean Cooking Fuel Use in Urban India : Women ’ s Status and Son Preference","type":"article-journal"},"uris":["http://www.mendeley.com/documents/?uuid=e885bec3-9301-4ecf-a84d-c524378b11de"]},{"id":"ITEM-2","itemData":{"author":[{"dropping-particle":"","family":"Milazzo","given":"Annamaria","non-dropping-particle":"","parse-names":false,"suffix":""}],"container-title":"Journal of Development Economics","id":"ITEM-2","issued":{"date-parts":[["2018","9"]]},"page":"467-484","title":"Why are adult women missing? Son preference and maternal survival in India","type":"article-journal","volume":"134"},"uris":["http://www.mendeley.com/documents/?uuid=9ce57a7d-3e7f-32df-a329-fff6518f67a5"]}],"mendeley":{"formattedCitation":"(Kishore &amp; Spears, 2014; Milazzo, 2018)","manualFormatting":"Kishore and Spears (2014) and Milazzo (2018)","plainTextFormattedCitation":"(Kishore &amp; Spears, 2014; Milazzo, 2018)","previouslyFormattedCitation":"(Kishore &amp; Spears, 2014; Milazzo,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Kishore and Spears (2014) and Milazzo (2018)</w:t>
      </w:r>
      <w:r>
        <w:rPr>
          <w:rFonts w:ascii="Times New Roman" w:hAnsi="Times New Roman" w:cs="Times New Roman"/>
          <w:sz w:val="24"/>
          <w:szCs w:val="24"/>
        </w:rPr>
        <w:fldChar w:fldCharType="end"/>
      </w:r>
      <w:r>
        <w:rPr>
          <w:rFonts w:ascii="Times New Roman" w:hAnsi="Times New Roman" w:cs="Times New Roman"/>
          <w:sz w:val="24"/>
          <w:szCs w:val="24"/>
        </w:rPr>
        <w:t xml:space="preserve">, we consider the </w:t>
      </w:r>
      <w:r>
        <w:rPr>
          <w:rFonts w:ascii="Times New Roman" w:hAnsi="Times New Roman" w:cs="Times New Roman"/>
          <w:i/>
          <w:sz w:val="24"/>
          <w:szCs w:val="24"/>
        </w:rPr>
        <w:t>first</w:t>
      </w:r>
      <w:r>
        <w:rPr>
          <w:rFonts w:ascii="Times New Roman" w:hAnsi="Times New Roman" w:cs="Times New Roman"/>
          <w:sz w:val="24"/>
          <w:szCs w:val="24"/>
        </w:rPr>
        <w:t xml:space="preserve"> child’s sex, rather than the sex composition of all children ever born, because son-preference can lead to differential fertility stopping behaviour depending on the sex composition of children already </w:t>
      </w:r>
      <w:r>
        <w:rPr>
          <w:rFonts w:ascii="Times New Roman" w:hAnsi="Times New Roman" w:cs="Times New Roman"/>
          <w:sz w:val="24"/>
          <w:szCs w:val="24"/>
        </w:rPr>
        <w:lastRenderedPageBreak/>
        <w:t>born. For example, women who have a daughter</w:t>
      </w:r>
      <w:r w:rsidR="00CB59B1">
        <w:rPr>
          <w:rFonts w:ascii="Times New Roman" w:hAnsi="Times New Roman" w:cs="Times New Roman"/>
          <w:sz w:val="24"/>
          <w:szCs w:val="24"/>
        </w:rPr>
        <w:t xml:space="preserve"> first</w:t>
      </w:r>
      <w:r>
        <w:rPr>
          <w:rFonts w:ascii="Times New Roman" w:hAnsi="Times New Roman" w:cs="Times New Roman"/>
          <w:sz w:val="24"/>
          <w:szCs w:val="24"/>
        </w:rPr>
        <w:t xml:space="preserve"> are more likely to have repeated and closely spaced future pregnancies in attempts to have a son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{"citationItems":[{"id":"ITEM-1","itemData":{"author":[{"dropping-particle":"","family":"Milazzo","given":"Annamaria","non-dropping-particle":"","parse-names":false,"suffix":""}],"container-title":"Journal of Development Economics","id":"ITEM-1","issued":{"date-parts":[["2018","9"]]},"page":"467-484","title":"Why are adult women missing? Son preference and maternal survival in India","type":"article-journal","volume":"134"},"uris":["http://www.mendeley.com/documents/?uuid=9ce57a7d-3e7f-32df-a329-fff6518f67a5"]}],"mendeley":{"formattedCitation":"(Milazzo, 2018)","plainTextFormattedCitation":"(Milazzo, 2018)","previouslyFormattedCitation":"(Milazzo, 2018)"},"properties":{"noteIndex":0},"schema":"https://github.com/citation-style-language/schema/raw/master/csl-citation.json"}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(Milazzo, 2018)</w:t>
      </w:r>
      <w:r>
        <w:rPr>
          <w:rFonts w:ascii="Times New Roman" w:hAnsi="Times New Roman" w:cs="Times New Roman"/>
          <w:sz w:val="24"/>
          <w:szCs w:val="24"/>
        </w:rPr>
        <w:fldChar w:fldCharType="end"/>
      </w:r>
      <w:r>
        <w:rPr>
          <w:rFonts w:ascii="Times New Roman" w:hAnsi="Times New Roman" w:cs="Times New Roman"/>
          <w:sz w:val="24"/>
          <w:szCs w:val="24"/>
        </w:rPr>
        <w:t>. This differential stopping behaviour can differentially affect women’s health and BMI</w:t>
      </w:r>
      <w:r w:rsidR="001659A8">
        <w:rPr>
          <w:rFonts w:ascii="Times New Roman" w:hAnsi="Times New Roman" w:cs="Times New Roman"/>
          <w:sz w:val="24"/>
          <w:szCs w:val="24"/>
        </w:rPr>
        <w:t>,</w:t>
      </w:r>
      <w:r>
        <w:rPr>
          <w:rFonts w:ascii="Times New Roman" w:hAnsi="Times New Roman" w:cs="Times New Roman"/>
          <w:sz w:val="24"/>
          <w:szCs w:val="24"/>
        </w:rPr>
        <w:t xml:space="preserve"> and can also be correlated with other unobserved variables, leading to endogeneity in estimation.</w:t>
      </w:r>
    </w:p>
    <w:p w14:paraId="4CE193EB" w14:textId="77751C32" w:rsidR="00713462" w:rsidRDefault="000D5B4F"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A major</w:t>
      </w:r>
      <w:r w:rsidR="009C3558">
        <w:rPr>
          <w:rFonts w:ascii="Times New Roman" w:hAnsi="Times New Roman" w:cs="Times New Roman"/>
          <w:sz w:val="24"/>
          <w:szCs w:val="24"/>
        </w:rPr>
        <w:t xml:space="preserve"> threat to causal identification using first child’s sex is that families can practice sex-selective abortion. However, there </w:t>
      </w:r>
      <w:r w:rsidR="00617470">
        <w:rPr>
          <w:rFonts w:ascii="Times New Roman" w:hAnsi="Times New Roman" w:cs="Times New Roman"/>
          <w:sz w:val="24"/>
          <w:szCs w:val="24"/>
        </w:rPr>
        <w:t xml:space="preserve">is </w:t>
      </w:r>
      <w:r w:rsidR="009C3558">
        <w:rPr>
          <w:rFonts w:ascii="Times New Roman" w:hAnsi="Times New Roman" w:cs="Times New Roman"/>
          <w:sz w:val="24"/>
          <w:szCs w:val="24"/>
        </w:rPr>
        <w:t xml:space="preserve">evidence that sex-selective abortion is </w:t>
      </w:r>
      <w:r w:rsidR="00DF501C">
        <w:rPr>
          <w:rFonts w:ascii="Times New Roman" w:hAnsi="Times New Roman" w:cs="Times New Roman"/>
          <w:sz w:val="24"/>
          <w:szCs w:val="24"/>
        </w:rPr>
        <w:t xml:space="preserve">more </w:t>
      </w:r>
      <w:r w:rsidR="009C3558">
        <w:rPr>
          <w:rFonts w:ascii="Times New Roman" w:hAnsi="Times New Roman" w:cs="Times New Roman"/>
          <w:sz w:val="24"/>
          <w:szCs w:val="24"/>
        </w:rPr>
        <w:t xml:space="preserve">common at higher birth orders rather than at the first birth order in India </w:t>
      </w:r>
      <w:r w:rsidR="009C3558">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{"citationItems":[{"id":"ITEM-1","itemData":{"author":[{"dropping-particle":"","family":"Bhalotra","given":"Sonia R.","non-dropping-particle":"","parse-names":false,"suffix":""},{"dropping-particle":"","family":"Cochrane","given":"Tom","non-dropping-particle":"","parse-names":false,"suffix":""}],"id":"ITEM-1","issued":{"date-parts":[["2010"]]},"publisher":"IZA Discussion paper","title":"Where Have All the Young Girls Gone? Identification of Sex Selection in India","type":"article"},"uris":["http://www.mendeley.com/documents/?uuid=2c035434-acc1-3466-b89f-59509f976525"]},{"id":"ITEM-2","itemData":{"author":[{"dropping-particle":"","family":"Rosenblum","given":"Daniel","non-dropping-particle":"","parse-names":false,"suffix":""}],"container-title":"Journal of Population Economics","id":"ITEM-2","issue":"1","issued":{"date-parts":[["2013","1","23"]]},"page":"147-180","title":"The effect of fertility decisions on excess female mortality in India","type":"article-journal","volume":"26"},"uris":["http://www.mendeley.com/documents/?uuid=8a685eac-dce0-37e9-811c-c4d86f18f632"]},{"id":"ITEM-3","itemData":{"abstract":"BACKGROUND\r\nIndia's 2011 census revealed a growing imbalance between the numbers of girls and boys aged 0–6 years, which we postulate is due to increased prenatal sex determination with subsequent selective abortion of female fetuses. We aimed to establish the trends in sex ratio by birth order from 1990 to 2005 with three nationally representative surveys and to quantify the totals of selective abortions of girls with census cohort data. \r\n\r\nMETHODS\r\nWe assessed sex ratios by birth order in 0·25 million births in three rounds of the nationally representative National Family Health Survey covering the period from 1990 to 2005. We estimated totals of selective abortion of girls by assessing the birth cohorts of children aged 0–6 years in the 1991, 2001, and 2011 censuses. Our main statistic was the conditional sex ratio of second-order births after a firstborn girl and we used 3-year rolling weighted averages to test for trends, with differences between trends compared by linear regression. \r\n\r\nFINDINGS\r\nThe conditional sex ratio for second-order births when the firstborn was a girl fell from 906 per 1000 boys (99% CI 798–1013) in 1990 to 836 (733–939) in 2005; an annual decline of 0·52% (p for trend=0·002). Declines were much greater in mothers with 10 or more years of education than in mothers with no education, and in wealthier households compared with poorer households. By contrast, we did not detect any significant declines in the sex ratio for second-order births if the firstborn was a boy, or for firstborns. Between the 2001 and 2011 censuses, more than twice the number of Indian districts (local administrative areas) showed declines in the child sex ratio as districts with no change or increases. After adjusting for excess mortality rates in girls, our estimates of number of selective abortions of girls rose from 0–2·0 million in the 1980s, to 1·2–4·1 million in the 1990s, and to 3·1–6·0 million in the 2000s. Each 1% decline in child sex ratio at ages 0–6 years implied 1·2–3·6 million more selective abortions of girls. Selective abortions of girls totalled about 4·2–12·1 million from 1980–2010, with a greater rate of increase in the 1990s than in the 2000s. \r\n\r\nINTERPRETATION\r\nSelective abortion of girls, especially for pregnancies after a firstborn girl, has increased substantially in India. Most of India's population now live in states where selective abortion of girls is common. \r\n\r\nFUNDING\r\nUS National Institutes of Health, Canadian Institute…","author":[{"dropping-particle":"","family":"Jha","given":"Prabhat","non-dropping-particle":"","parse-names":false,"suffix":""},{"dropping-particle":"","family":"Kesler","given":"Maya A","non-dropping-particle":"","parse-names":false,"suffix":""},{"dropping-particle":"","family":"Kumar","given":"Rajesh","non-dropping-particle":"","parse-names":false,"suffix":""},{"dropping-particle":"","family":"Ram","given":"Faujdar","non-dropping-particle":"","parse-names":false,"suffix":""},{"dropping-particle":"","family":"Ram","given":"Usha","non-dropping-particle":"","parse-names":false,"suffix":""},{"dropping-particle":"","family":"Aleksandrowicz","given":"Lukasz","non-dropping-particle":"","parse-names":false,"suffix":""},{"dropping-particle":"","family":"Bassani","given":"Diego G","non-dropping-particle":"","parse-names":false,"suffix":""},{"dropping-particle":"","family":"Chandra","given":"Shailaja","non-dropping-particle":"","parse-names":false,"suffix":""},{"dropping-particle":"","family":"Banthia","given":"Jayant K","non-dropping-particle":"","parse-names":false,"suffix":""}],"container-title":"The Lancet","id":"ITEM-3","issue":"9781","issued":{"date-parts":[["2011","6","4"]]},"page":"1921-1928","publisher":"Elsevier","title":"Trends in selective abortions of girls in India: analysis of nationally representative birth histories from 1990 to 2005 and census data from 1991 to 2011","type":"article-journal","volume":"377"},"uris":["http://www.mendeley.com/documents/?uuid=48c40172-5fdb-33dc-96c4-c5f5376a84e4"]}],"mendeley":{"formattedCitation":"(S. R. Bhalotra &amp; Cochrane, 2010; Jha et al., 2011; Rosenblum, 2013)","plainTextFormattedCitation":"(S. R. Bhalotra &amp; Cochrane, 2010; Jha et al., 2011; Rosenblum, 2013)","previouslyFormattedCitation":"(S. R. Bhalotra &amp; Cochrane, 2010; Jha et al., 2011; Rosenblum, 2013)"},"properties":{"noteIndex":0},"schema":"https://github.com/citation-style-language/schema/raw/master/csl-citation.json"}</w:instrText>
      </w:r>
      <w:r w:rsidR="009C3558">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(S. R. Bhalotra &amp; Cochrane, 2010; Jha et al., 2011; Rosenblum, 2013)</w:t>
      </w:r>
      <w:r w:rsidR="009C3558">
        <w:rPr>
          <w:rFonts w:ascii="Times New Roman" w:hAnsi="Times New Roman" w:cs="Times New Roman"/>
          <w:sz w:val="24"/>
          <w:szCs w:val="24"/>
        </w:rPr>
        <w:fldChar w:fldCharType="end"/>
      </w:r>
      <w:r w:rsidR="009C3558">
        <w:rPr>
          <w:rFonts w:ascii="Times New Roman" w:hAnsi="Times New Roman" w:cs="Times New Roman"/>
          <w:sz w:val="24"/>
          <w:szCs w:val="24"/>
        </w:rPr>
        <w:t xml:space="preserve">. To still ensure that child sex is exogenous in our </w:t>
      </w:r>
      <w:r w:rsidR="00D51C3E">
        <w:rPr>
          <w:rFonts w:ascii="Times New Roman" w:hAnsi="Times New Roman" w:cs="Times New Roman"/>
          <w:sz w:val="24"/>
          <w:szCs w:val="24"/>
        </w:rPr>
        <w:t>sample</w:t>
      </w:r>
      <w:r w:rsidR="009C3558">
        <w:rPr>
          <w:rFonts w:ascii="Times New Roman" w:hAnsi="Times New Roman" w:cs="Times New Roman"/>
          <w:sz w:val="24"/>
          <w:szCs w:val="24"/>
        </w:rPr>
        <w:t>, we replicate our results for the sub</w:t>
      </w:r>
      <w:r w:rsidR="004E646D">
        <w:rPr>
          <w:rFonts w:ascii="Times New Roman" w:hAnsi="Times New Roman" w:cs="Times New Roman"/>
          <w:sz w:val="24"/>
          <w:szCs w:val="24"/>
        </w:rPr>
        <w:t>-</w:t>
      </w:r>
      <w:r w:rsidR="009C3558">
        <w:rPr>
          <w:rFonts w:ascii="Times New Roman" w:hAnsi="Times New Roman" w:cs="Times New Roman"/>
          <w:sz w:val="24"/>
          <w:szCs w:val="24"/>
        </w:rPr>
        <w:t>sample of women who report never having terminated a pregnancy. We expect to see qualitatively similar results for this sub</w:t>
      </w:r>
      <w:r w:rsidR="00C30ACE">
        <w:rPr>
          <w:rFonts w:ascii="Times New Roman" w:hAnsi="Times New Roman" w:cs="Times New Roman"/>
          <w:sz w:val="24"/>
          <w:szCs w:val="24"/>
        </w:rPr>
        <w:t>-</w:t>
      </w:r>
      <w:r w:rsidR="009C3558">
        <w:rPr>
          <w:rFonts w:ascii="Times New Roman" w:hAnsi="Times New Roman" w:cs="Times New Roman"/>
          <w:sz w:val="24"/>
          <w:szCs w:val="24"/>
        </w:rPr>
        <w:t>sample.</w:t>
      </w:r>
      <w:r w:rsidR="005602CB">
        <w:rPr>
          <w:rFonts w:ascii="Times New Roman" w:hAnsi="Times New Roman" w:cs="Times New Roman"/>
          <w:sz w:val="24"/>
          <w:szCs w:val="24"/>
        </w:rPr>
        <w:t xml:space="preserve"> </w:t>
      </w:r>
      <w:r w:rsidR="00713462">
        <w:rPr>
          <w:rFonts w:ascii="Times New Roman" w:hAnsi="Times New Roman" w:cs="Times New Roman"/>
          <w:sz w:val="24"/>
          <w:szCs w:val="24"/>
        </w:rPr>
        <w:t>We also remove the sub-sample of women who are currently pregnant and women who gave birth in the two years preceding survey.</w:t>
      </w:r>
    </w:p>
    <w:p w14:paraId="04F46C60" w14:textId="77777777"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We use quantile regression</w:t>
      </w:r>
      <w:r w:rsidR="00E71FDF">
        <w:rPr>
          <w:rFonts w:ascii="Times New Roman" w:hAnsi="Times New Roman" w:cs="Times New Roman"/>
          <w:sz w:val="24"/>
          <w:szCs w:val="24"/>
        </w:rPr>
        <w:t>s</w:t>
      </w:r>
      <w:r>
        <w:rPr>
          <w:rFonts w:ascii="Times New Roman" w:hAnsi="Times New Roman" w:cs="Times New Roman"/>
          <w:sz w:val="24"/>
          <w:szCs w:val="24"/>
        </w:rPr>
        <w:t xml:space="preserve"> to causally estimate the relationship between first child’s sex and BMI. Unlike ordinary least squares, quantile regression does not assume an underlying parametric distribution. It models the entire conditional distribution of the data, giving a more complete picture of the relationship between intrahousehold status and BMI. </w:t>
      </w:r>
    </w:p>
    <w:p w14:paraId="2FEE55B9" w14:textId="77777777" w:rsidR="009C3558" w:rsidRPr="002C436F" w:rsidRDefault="009C3558" w:rsidP="009C3558">
      <w:pPr>
        <w:spacing w:line="36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We consider percentiles of BMI to show how the first child’s sex affects BMI at each percentile. </w:t>
      </w:r>
      <w:r w:rsidR="008F1D47">
        <w:rPr>
          <w:rFonts w:ascii="Times New Roman" w:hAnsi="Times New Roman" w:cs="Times New Roman"/>
          <w:sz w:val="24"/>
          <w:szCs w:val="24"/>
        </w:rPr>
        <w:t xml:space="preserve">This methodology </w:t>
      </w:r>
      <w:r w:rsidRPr="00AE6BE8">
        <w:rPr>
          <w:rFonts w:ascii="Times New Roman" w:hAnsi="Times New Roman" w:cs="Times New Roman"/>
          <w:sz w:val="24"/>
          <w:szCs w:val="24"/>
        </w:rPr>
        <w:t xml:space="preserve">also allows us to discern whether status affects BMI of the thinnest women in the same way as it does of the </w:t>
      </w:r>
      <w:r w:rsidR="000D5B4F">
        <w:rPr>
          <w:rFonts w:ascii="Times New Roman" w:hAnsi="Times New Roman" w:cs="Times New Roman"/>
          <w:sz w:val="24"/>
          <w:szCs w:val="24"/>
        </w:rPr>
        <w:t xml:space="preserve">women with </w:t>
      </w:r>
      <w:r w:rsidRPr="00AE6BE8">
        <w:rPr>
          <w:rFonts w:ascii="Times New Roman" w:hAnsi="Times New Roman" w:cs="Times New Roman"/>
          <w:sz w:val="24"/>
          <w:szCs w:val="24"/>
        </w:rPr>
        <w:t>normal weight</w:t>
      </w:r>
      <w:r w:rsidR="000D5B4F">
        <w:rPr>
          <w:rFonts w:ascii="Times New Roman" w:hAnsi="Times New Roman" w:cs="Times New Roman"/>
          <w:sz w:val="24"/>
          <w:szCs w:val="24"/>
        </w:rPr>
        <w:t>s</w:t>
      </w:r>
      <w:r w:rsidRPr="00AE6BE8">
        <w:rPr>
          <w:rFonts w:ascii="Times New Roman" w:hAnsi="Times New Roman" w:cs="Times New Roman"/>
          <w:sz w:val="24"/>
          <w:szCs w:val="24"/>
        </w:rPr>
        <w:t xml:space="preserve"> or overweight</w:t>
      </w:r>
      <w:r w:rsidR="0058414D">
        <w:rPr>
          <w:rFonts w:ascii="Times New Roman" w:hAnsi="Times New Roman" w:cs="Times New Roman"/>
          <w:sz w:val="24"/>
          <w:szCs w:val="24"/>
        </w:rPr>
        <w:t>/obese</w:t>
      </w:r>
      <w:r w:rsidRPr="00AE6BE8">
        <w:rPr>
          <w:rFonts w:ascii="Times New Roman" w:hAnsi="Times New Roman" w:cs="Times New Roman"/>
          <w:sz w:val="24"/>
          <w:szCs w:val="24"/>
        </w:rPr>
        <w:t xml:space="preserve"> women.</w:t>
      </w:r>
      <w:r w:rsidR="00B044B5">
        <w:rPr>
          <w:rFonts w:ascii="Times New Roman" w:hAnsi="Times New Roman" w:cs="Times New Roman"/>
          <w:sz w:val="24"/>
          <w:szCs w:val="24"/>
        </w:rPr>
        <w:t xml:space="preserve"> </w:t>
      </w:r>
      <w:r w:rsidR="004C12ED">
        <w:rPr>
          <w:rFonts w:ascii="Times New Roman" w:hAnsi="Times New Roman" w:cs="Times New Roman"/>
          <w:sz w:val="24"/>
          <w:szCs w:val="24"/>
        </w:rPr>
        <w:t xml:space="preserve">We are particularly interested to know whether there is a </w:t>
      </w:r>
      <w:r w:rsidR="00AE6BE8">
        <w:rPr>
          <w:rFonts w:ascii="Times New Roman" w:hAnsi="Times New Roman" w:cs="Times New Roman"/>
          <w:sz w:val="24"/>
          <w:szCs w:val="24"/>
        </w:rPr>
        <w:t>switch</w:t>
      </w:r>
      <w:r w:rsidR="004C12ED">
        <w:rPr>
          <w:rFonts w:ascii="Times New Roman" w:hAnsi="Times New Roman" w:cs="Times New Roman"/>
          <w:sz w:val="24"/>
          <w:szCs w:val="24"/>
        </w:rPr>
        <w:t xml:space="preserve"> in the sign of the relationship between status and BMI at higher than normal levels of BMI</w:t>
      </w:r>
      <w:r w:rsidR="00AE6BE8">
        <w:rPr>
          <w:rFonts w:ascii="Times New Roman" w:hAnsi="Times New Roman" w:cs="Times New Roman"/>
          <w:sz w:val="24"/>
          <w:szCs w:val="24"/>
        </w:rPr>
        <w:t>.</w:t>
      </w:r>
      <w:r w:rsidR="00695CC0">
        <w:rPr>
          <w:rFonts w:ascii="Times New Roman" w:hAnsi="Times New Roman" w:cs="Times New Roman"/>
          <w:sz w:val="24"/>
          <w:szCs w:val="24"/>
        </w:rPr>
        <w:t xml:space="preserve"> </w:t>
      </w:r>
    </w:p>
    <w:p w14:paraId="655B728C" w14:textId="77777777"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Percentiles of BMI are denoted by τ and the corresponding BMI conditional on </w:t>
      </w:r>
      <w:r w:rsidR="00EB11D8">
        <w:rPr>
          <w:rFonts w:ascii="Times New Roman" w:hAnsi="Times New Roman" w:cs="Times New Roman"/>
          <w:sz w:val="24"/>
          <w:szCs w:val="24"/>
        </w:rPr>
        <w:t xml:space="preserve">a variable </w:t>
      </w:r>
      <w:r>
        <w:rPr>
          <w:rFonts w:ascii="Times New Roman" w:hAnsi="Times New Roman" w:cs="Times New Roman"/>
          <w:sz w:val="24"/>
          <w:szCs w:val="24"/>
        </w:rPr>
        <w:t xml:space="preserve">X is given by </w:t>
      </w:r>
      <w:proofErr w:type="spellStart"/>
      <w:r>
        <w:rPr>
          <w:rFonts w:ascii="Times New Roman" w:hAnsi="Times New Roman" w:cs="Times New Roman"/>
          <w:sz w:val="24"/>
          <w:szCs w:val="24"/>
        </w:rPr>
        <w:t>Q</w:t>
      </w:r>
      <w:r>
        <w:rPr>
          <w:rFonts w:ascii="Times New Roman" w:hAnsi="Times New Roman" w:cs="Times New Roman"/>
          <w:sz w:val="24"/>
          <w:szCs w:val="24"/>
          <w:vertAlign w:val="subscript"/>
        </w:rPr>
        <w:t>τ</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(BMI|X). A woman is at the </w:t>
      </w:r>
      <w:proofErr w:type="spellStart"/>
      <w:r>
        <w:rPr>
          <w:rFonts w:ascii="Times New Roman" w:hAnsi="Times New Roman" w:cs="Times New Roman"/>
          <w:sz w:val="24"/>
          <w:szCs w:val="24"/>
        </w:rPr>
        <w:t>τ</w:t>
      </w:r>
      <w:r>
        <w:rPr>
          <w:rFonts w:ascii="Times New Roman" w:hAnsi="Times New Roman" w:cs="Times New Roman"/>
          <w:sz w:val="24"/>
          <w:szCs w:val="24"/>
          <w:vertAlign w:val="superscript"/>
        </w:rPr>
        <w:t>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percentile of BMI if her BMI is higher than the percentage τ and lower than the percentage (1 - τ) of sample women. The regression model is specified as follows:</w:t>
      </w:r>
    </w:p>
    <w:p w14:paraId="0046449F" w14:textId="77777777" w:rsidR="009C3558" w:rsidRDefault="00FF3D14" w:rsidP="009C3558">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τ</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BMI</m:t>
                  </m:r>
                </m:e>
                <m:sub>
                  <m:r>
                    <w:rPr>
                      <w:rFonts w:ascii="Cambria Math" w:hAnsi="Cambria Math" w:cs="Times New Roman"/>
                      <w:sz w:val="24"/>
                      <w:szCs w:val="24"/>
                    </w:rPr>
                    <m:t>i</m:t>
                  </m:r>
                </m:sub>
              </m:sSub>
            </m:e>
            <m:e>
              <m:sSub>
                <m:sSubPr>
                  <m:ctrlPr>
                    <w:rPr>
                      <w:rFonts w:ascii="Cambria Math" w:hAnsi="Cambria Math" w:cs="Times New Roman"/>
                      <w:i/>
                      <w:sz w:val="24"/>
                      <w:szCs w:val="24"/>
                    </w:rPr>
                  </m:ctrlPr>
                </m:sSubPr>
                <m:e>
                  <m:r>
                    <w:rPr>
                      <w:rFonts w:ascii="Cambria Math" w:hAnsi="Cambria Math" w:cs="Times New Roman"/>
                      <w:sz w:val="24"/>
                      <w:szCs w:val="24"/>
                    </w:rPr>
                    <m:t>First_child_is_male</m:t>
                  </m:r>
                </m:e>
                <m:sub>
                  <m:r>
                    <w:rPr>
                      <w:rFonts w:ascii="Cambria Math" w:hAnsi="Cambria Math" w:cs="Times New Roman"/>
                      <w:sz w:val="24"/>
                      <w:szCs w:val="24"/>
                    </w:rPr>
                    <m:t>i</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First_child_is_male</m:t>
                  </m:r>
                </m:e>
                <m:sub>
                  <m:r>
                    <w:rPr>
                      <w:rFonts w:ascii="Cambria Math" w:hAnsi="Cambria Math" w:cs="Times New Roman"/>
                      <w:sz w:val="24"/>
                      <w:szCs w:val="24"/>
                    </w:rPr>
                    <m:t>i</m:t>
                  </m:r>
                </m:sub>
              </m:sSub>
              <m:r>
                <w:rPr>
                  <w:rFonts w:ascii="Cambria Math" w:hAnsi="Cambria Math" w:cs="Times New Roman"/>
                  <w:sz w:val="24"/>
                  <w:szCs w:val="24"/>
                </w:rPr>
                <m:t xml:space="preserve"> β</m:t>
              </m:r>
            </m:e>
            <m:sub>
              <m:r>
                <w:rPr>
                  <w:rFonts w:ascii="Cambria Math" w:hAnsi="Cambria Math" w:cs="Times New Roman"/>
                  <w:sz w:val="24"/>
                  <w:szCs w:val="24"/>
                </w:rPr>
                <m:t>τ</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τ</m:t>
              </m:r>
            </m:sub>
          </m:sSub>
        </m:oMath>
      </m:oMathPara>
    </w:p>
    <w:p w14:paraId="22C3407C" w14:textId="77777777" w:rsidR="009C3558" w:rsidRDefault="009C3558" w:rsidP="009C355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are interested in the coefficients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τ</m:t>
            </m:r>
          </m:sub>
        </m:sSub>
        <m:r>
          <w:rPr>
            <w:rFonts w:ascii="Cambria Math" w:hAnsi="Cambria Math" w:cs="Times New Roman"/>
            <w:sz w:val="24"/>
            <w:szCs w:val="24"/>
          </w:rPr>
          <m:t xml:space="preserve"> </m:t>
        </m:r>
      </m:oMath>
      <w:r>
        <w:rPr>
          <w:rFonts w:ascii="Times New Roman" w:eastAsiaTheme="minorEastAsia" w:hAnsi="Times New Roman" w:cs="Times New Roman"/>
          <w:sz w:val="24"/>
          <w:szCs w:val="24"/>
        </w:rPr>
        <w:t>of the variable</w:t>
      </w:r>
      <w:r w:rsidR="000650A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First_child_is_male</m:t>
            </m:r>
          </m:e>
          <m:sub>
            <m:r>
              <w:rPr>
                <w:rFonts w:ascii="Cambria Math" w:hAnsi="Cambria Math" w:cs="Times New Roman"/>
                <w:sz w:val="24"/>
                <w:szCs w:val="24"/>
              </w:rPr>
              <m:t>i</m:t>
            </m:r>
          </m:sub>
        </m:sSub>
      </m:oMath>
      <w:r w:rsidR="00127F9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from each percentile regression</w:t>
      </w:r>
      <w:r w:rsidR="000650A2">
        <w:rPr>
          <w:rFonts w:ascii="Times New Roman" w:eastAsiaTheme="minorEastAsia"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First_child_is_male</m:t>
            </m:r>
          </m:e>
          <m:sub>
            <m:r>
              <w:rPr>
                <w:rFonts w:ascii="Cambria Math" w:hAnsi="Cambria Math" w:cs="Times New Roman"/>
                <w:sz w:val="24"/>
                <w:szCs w:val="24"/>
              </w:rPr>
              <m:t>i</m:t>
            </m:r>
          </m:sub>
        </m:sSub>
      </m:oMath>
      <w:r w:rsidR="000650A2">
        <w:rPr>
          <w:rFonts w:ascii="Times New Roman" w:eastAsiaTheme="minorEastAsia" w:hAnsi="Times New Roman" w:cs="Times New Roman"/>
          <w:sz w:val="24"/>
          <w:szCs w:val="24"/>
        </w:rPr>
        <w:t xml:space="preserve"> is equal to 1 if the first-born child of the </w:t>
      </w:r>
      <w:proofErr w:type="spellStart"/>
      <w:r w:rsidR="000650A2" w:rsidRPr="00127F91">
        <w:rPr>
          <w:rFonts w:ascii="Times New Roman" w:eastAsiaTheme="minorEastAsia" w:hAnsi="Times New Roman" w:cs="Times New Roman"/>
          <w:i/>
          <w:sz w:val="24"/>
          <w:szCs w:val="24"/>
        </w:rPr>
        <w:t>i</w:t>
      </w:r>
      <w:r w:rsidR="000650A2" w:rsidRPr="00203296">
        <w:rPr>
          <w:rFonts w:ascii="Times New Roman" w:eastAsiaTheme="minorEastAsia" w:hAnsi="Times New Roman" w:cs="Times New Roman"/>
          <w:sz w:val="24"/>
          <w:szCs w:val="24"/>
          <w:vertAlign w:val="superscript"/>
        </w:rPr>
        <w:t>t</w:t>
      </w:r>
      <w:r w:rsidR="000650A2">
        <w:rPr>
          <w:rFonts w:ascii="Times New Roman" w:eastAsiaTheme="minorEastAsia" w:hAnsi="Times New Roman" w:cs="Times New Roman"/>
          <w:sz w:val="24"/>
          <w:szCs w:val="24"/>
          <w:vertAlign w:val="superscript"/>
        </w:rPr>
        <w:t>h</w:t>
      </w:r>
      <w:proofErr w:type="spellEnd"/>
      <w:r w:rsidR="000650A2">
        <w:rPr>
          <w:rFonts w:ascii="Times New Roman" w:eastAsiaTheme="minorEastAsia" w:hAnsi="Times New Roman" w:cs="Times New Roman"/>
          <w:sz w:val="24"/>
          <w:szCs w:val="24"/>
        </w:rPr>
        <w:t xml:space="preserve"> woman is male.</w:t>
      </w:r>
      <w:r w:rsidR="00BF2F49">
        <w:rPr>
          <w:rFonts w:ascii="Times New Roman" w:eastAsiaTheme="minorEastAsia" w:hAnsi="Times New Roman" w:cs="Times New Roman"/>
          <w:sz w:val="24"/>
          <w:szCs w:val="24"/>
        </w:rPr>
        <w:t xml:space="preserve"> It is equal to 0 if the first-born child is female.</w:t>
      </w:r>
    </w:p>
    <w:p w14:paraId="378D9BC8" w14:textId="0E0992CE" w:rsidR="006167BD" w:rsidRDefault="0034399A"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perform regressions separately for the </w:t>
      </w:r>
      <w:r w:rsidR="00774DE7">
        <w:rPr>
          <w:rFonts w:ascii="Times New Roman" w:hAnsi="Times New Roman" w:cs="Times New Roman"/>
          <w:sz w:val="24"/>
          <w:szCs w:val="24"/>
        </w:rPr>
        <w:t>full</w:t>
      </w:r>
      <w:r>
        <w:rPr>
          <w:rFonts w:ascii="Times New Roman" w:hAnsi="Times New Roman" w:cs="Times New Roman"/>
          <w:sz w:val="24"/>
          <w:szCs w:val="24"/>
        </w:rPr>
        <w:t xml:space="preserve"> sample,</w:t>
      </w:r>
      <w:r w:rsidR="0008134F">
        <w:rPr>
          <w:rFonts w:ascii="Times New Roman" w:hAnsi="Times New Roman" w:cs="Times New Roman"/>
          <w:sz w:val="24"/>
          <w:szCs w:val="24"/>
        </w:rPr>
        <w:t xml:space="preserve"> sub-sample who have never terminated a pregnancy,</w:t>
      </w:r>
      <w:r>
        <w:rPr>
          <w:rFonts w:ascii="Times New Roman" w:hAnsi="Times New Roman" w:cs="Times New Roman"/>
          <w:sz w:val="24"/>
          <w:szCs w:val="24"/>
        </w:rPr>
        <w:t xml:space="preserve"> </w:t>
      </w:r>
      <w:r w:rsidR="000D5B4F">
        <w:rPr>
          <w:rFonts w:ascii="Times New Roman" w:hAnsi="Times New Roman" w:cs="Times New Roman"/>
          <w:sz w:val="24"/>
          <w:szCs w:val="24"/>
        </w:rPr>
        <w:t xml:space="preserve">the </w:t>
      </w:r>
      <w:r>
        <w:rPr>
          <w:rFonts w:ascii="Times New Roman" w:hAnsi="Times New Roman" w:cs="Times New Roman"/>
          <w:sz w:val="24"/>
          <w:szCs w:val="24"/>
        </w:rPr>
        <w:t xml:space="preserve">urban sample, and </w:t>
      </w:r>
      <w:r w:rsidR="000D5B4F">
        <w:rPr>
          <w:rFonts w:ascii="Times New Roman" w:hAnsi="Times New Roman" w:cs="Times New Roman"/>
          <w:sz w:val="24"/>
          <w:szCs w:val="24"/>
        </w:rPr>
        <w:t xml:space="preserve">the </w:t>
      </w:r>
      <w:r>
        <w:rPr>
          <w:rFonts w:ascii="Times New Roman" w:hAnsi="Times New Roman" w:cs="Times New Roman"/>
          <w:sz w:val="24"/>
          <w:szCs w:val="24"/>
        </w:rPr>
        <w:t xml:space="preserve">rural sample of </w:t>
      </w:r>
      <w:r w:rsidR="00A844A4">
        <w:rPr>
          <w:rFonts w:ascii="Times New Roman" w:hAnsi="Times New Roman" w:cs="Times New Roman"/>
          <w:sz w:val="24"/>
          <w:szCs w:val="24"/>
        </w:rPr>
        <w:t>mothers</w:t>
      </w:r>
      <w:r>
        <w:rPr>
          <w:rFonts w:ascii="Times New Roman" w:hAnsi="Times New Roman" w:cs="Times New Roman"/>
          <w:sz w:val="24"/>
          <w:szCs w:val="24"/>
        </w:rPr>
        <w:t xml:space="preserve">. </w:t>
      </w:r>
      <w:r w:rsidRPr="006F60E6">
        <w:rPr>
          <w:rFonts w:ascii="Times New Roman" w:hAnsi="Times New Roman" w:cs="Times New Roman"/>
          <w:sz w:val="24"/>
          <w:szCs w:val="24"/>
        </w:rPr>
        <w:t>We</w:t>
      </w:r>
      <w:r w:rsidR="006F60E6" w:rsidRPr="006F60E6">
        <w:rPr>
          <w:rFonts w:ascii="Times New Roman" w:hAnsi="Times New Roman" w:cs="Times New Roman"/>
          <w:sz w:val="24"/>
          <w:szCs w:val="24"/>
        </w:rPr>
        <w:t xml:space="preserve"> </w:t>
      </w:r>
      <w:r w:rsidR="000D5B4F">
        <w:rPr>
          <w:rFonts w:ascii="Times New Roman" w:hAnsi="Times New Roman" w:cs="Times New Roman"/>
          <w:sz w:val="24"/>
          <w:szCs w:val="24"/>
        </w:rPr>
        <w:t>control for</w:t>
      </w:r>
      <w:r w:rsidRPr="006F60E6">
        <w:rPr>
          <w:rFonts w:ascii="Times New Roman" w:hAnsi="Times New Roman" w:cs="Times New Roman"/>
          <w:sz w:val="24"/>
          <w:szCs w:val="24"/>
        </w:rPr>
        <w:t xml:space="preserve"> age, square of </w:t>
      </w:r>
      <w:r w:rsidRPr="006F60E6">
        <w:rPr>
          <w:rFonts w:ascii="Times New Roman" w:hAnsi="Times New Roman" w:cs="Times New Roman"/>
          <w:sz w:val="24"/>
          <w:szCs w:val="24"/>
        </w:rPr>
        <w:lastRenderedPageBreak/>
        <w:t>age, religion, caste, and household wealth in our regressions.</w:t>
      </w:r>
      <w:r w:rsidR="006F60E6">
        <w:rPr>
          <w:rFonts w:ascii="Times New Roman" w:hAnsi="Times New Roman" w:cs="Times New Roman"/>
          <w:sz w:val="24"/>
          <w:szCs w:val="24"/>
        </w:rPr>
        <w:t xml:space="preserve"> A</w:t>
      </w:r>
      <w:r w:rsidRPr="006F60E6">
        <w:rPr>
          <w:rFonts w:ascii="Times New Roman" w:hAnsi="Times New Roman" w:cs="Times New Roman"/>
          <w:sz w:val="24"/>
          <w:szCs w:val="24"/>
        </w:rPr>
        <w:t>dditionally</w:t>
      </w:r>
      <w:r w:rsidR="006F60E6">
        <w:rPr>
          <w:rFonts w:ascii="Times New Roman" w:hAnsi="Times New Roman" w:cs="Times New Roman"/>
          <w:sz w:val="24"/>
          <w:szCs w:val="24"/>
        </w:rPr>
        <w:t>, we also</w:t>
      </w:r>
      <w:r w:rsidRPr="006F60E6">
        <w:rPr>
          <w:rFonts w:ascii="Times New Roman" w:hAnsi="Times New Roman" w:cs="Times New Roman"/>
          <w:sz w:val="24"/>
          <w:szCs w:val="24"/>
        </w:rPr>
        <w:t xml:space="preserve"> control for </w:t>
      </w:r>
      <w:r w:rsidR="005441CF" w:rsidRPr="006F60E6">
        <w:rPr>
          <w:rFonts w:ascii="Times New Roman" w:hAnsi="Times New Roman" w:cs="Times New Roman"/>
          <w:sz w:val="24"/>
          <w:szCs w:val="24"/>
        </w:rPr>
        <w:t xml:space="preserve">the </w:t>
      </w:r>
      <w:r w:rsidRPr="006F60E6">
        <w:rPr>
          <w:rFonts w:ascii="Times New Roman" w:hAnsi="Times New Roman" w:cs="Times New Roman"/>
          <w:sz w:val="24"/>
          <w:szCs w:val="24"/>
        </w:rPr>
        <w:t>education and occupation</w:t>
      </w:r>
      <w:r w:rsidR="005441CF" w:rsidRPr="006F60E6">
        <w:rPr>
          <w:rFonts w:ascii="Times New Roman" w:hAnsi="Times New Roman" w:cs="Times New Roman"/>
          <w:sz w:val="24"/>
          <w:szCs w:val="24"/>
        </w:rPr>
        <w:t xml:space="preserve"> of wom</w:t>
      </w:r>
      <w:r w:rsidR="000D3285" w:rsidRPr="006F60E6">
        <w:rPr>
          <w:rFonts w:ascii="Times New Roman" w:hAnsi="Times New Roman" w:cs="Times New Roman"/>
          <w:sz w:val="24"/>
          <w:szCs w:val="24"/>
        </w:rPr>
        <w:t>e</w:t>
      </w:r>
      <w:r w:rsidR="005441CF" w:rsidRPr="006F60E6">
        <w:rPr>
          <w:rFonts w:ascii="Times New Roman" w:hAnsi="Times New Roman" w:cs="Times New Roman"/>
          <w:sz w:val="24"/>
          <w:szCs w:val="24"/>
        </w:rPr>
        <w:t xml:space="preserve">n </w:t>
      </w:r>
      <w:r w:rsidR="00A36169" w:rsidRPr="006F60E6">
        <w:rPr>
          <w:rFonts w:ascii="Times New Roman" w:hAnsi="Times New Roman" w:cs="Times New Roman"/>
          <w:sz w:val="24"/>
          <w:szCs w:val="24"/>
        </w:rPr>
        <w:t>as</w:t>
      </w:r>
      <w:r w:rsidR="005441CF" w:rsidRPr="006F60E6">
        <w:rPr>
          <w:rFonts w:ascii="Times New Roman" w:hAnsi="Times New Roman" w:cs="Times New Roman"/>
          <w:sz w:val="24"/>
          <w:szCs w:val="24"/>
        </w:rPr>
        <w:t xml:space="preserve"> </w:t>
      </w:r>
      <w:r w:rsidR="00A36169" w:rsidRPr="006F60E6">
        <w:rPr>
          <w:rFonts w:ascii="Times New Roman" w:hAnsi="Times New Roman" w:cs="Times New Roman"/>
          <w:sz w:val="24"/>
          <w:szCs w:val="24"/>
        </w:rPr>
        <w:t>these two factors</w:t>
      </w:r>
      <w:r w:rsidR="005441CF" w:rsidRPr="006F60E6">
        <w:rPr>
          <w:rFonts w:ascii="Times New Roman" w:hAnsi="Times New Roman" w:cs="Times New Roman"/>
          <w:sz w:val="24"/>
          <w:szCs w:val="24"/>
        </w:rPr>
        <w:t xml:space="preserve"> </w:t>
      </w:r>
      <w:r w:rsidR="00AD7BE2">
        <w:rPr>
          <w:rFonts w:ascii="Times New Roman" w:hAnsi="Times New Roman" w:cs="Times New Roman"/>
          <w:sz w:val="24"/>
          <w:szCs w:val="24"/>
        </w:rPr>
        <w:t>are likely to be</w:t>
      </w:r>
      <w:r w:rsidR="00F531FA" w:rsidRPr="006F60E6">
        <w:rPr>
          <w:rFonts w:ascii="Times New Roman" w:hAnsi="Times New Roman" w:cs="Times New Roman"/>
          <w:sz w:val="24"/>
          <w:szCs w:val="24"/>
        </w:rPr>
        <w:t xml:space="preserve"> </w:t>
      </w:r>
      <w:r w:rsidR="003C41E8">
        <w:rPr>
          <w:rFonts w:ascii="Times New Roman" w:hAnsi="Times New Roman" w:cs="Times New Roman"/>
          <w:sz w:val="24"/>
          <w:szCs w:val="24"/>
        </w:rPr>
        <w:t xml:space="preserve">associated with </w:t>
      </w:r>
      <w:r w:rsidR="005441CF" w:rsidRPr="006F60E6">
        <w:rPr>
          <w:rFonts w:ascii="Times New Roman" w:hAnsi="Times New Roman" w:cs="Times New Roman"/>
          <w:sz w:val="24"/>
          <w:szCs w:val="24"/>
        </w:rPr>
        <w:t xml:space="preserve">both </w:t>
      </w:r>
      <w:r w:rsidR="002B5532" w:rsidRPr="006F60E6">
        <w:rPr>
          <w:rFonts w:ascii="Times New Roman" w:hAnsi="Times New Roman" w:cs="Times New Roman"/>
          <w:sz w:val="24"/>
          <w:szCs w:val="24"/>
        </w:rPr>
        <w:t>the</w:t>
      </w:r>
      <w:r w:rsidR="000D5B4F">
        <w:rPr>
          <w:rFonts w:ascii="Times New Roman" w:hAnsi="Times New Roman" w:cs="Times New Roman"/>
          <w:sz w:val="24"/>
          <w:szCs w:val="24"/>
        </w:rPr>
        <w:t xml:space="preserve">ir </w:t>
      </w:r>
      <w:r w:rsidR="000D5B4F" w:rsidRPr="006F60E6">
        <w:rPr>
          <w:rFonts w:ascii="Times New Roman" w:hAnsi="Times New Roman" w:cs="Times New Roman"/>
          <w:sz w:val="24"/>
          <w:szCs w:val="24"/>
        </w:rPr>
        <w:t>intrahousehold status</w:t>
      </w:r>
      <w:r w:rsidR="00F531FA" w:rsidRPr="006F60E6">
        <w:rPr>
          <w:rFonts w:ascii="Times New Roman" w:hAnsi="Times New Roman" w:cs="Times New Roman"/>
          <w:sz w:val="24"/>
          <w:szCs w:val="24"/>
        </w:rPr>
        <w:t xml:space="preserve"> </w:t>
      </w:r>
      <w:r w:rsidR="000D5B4F">
        <w:rPr>
          <w:rFonts w:ascii="Times New Roman" w:hAnsi="Times New Roman" w:cs="Times New Roman"/>
          <w:sz w:val="24"/>
          <w:szCs w:val="24"/>
        </w:rPr>
        <w:t xml:space="preserve">and the </w:t>
      </w:r>
      <w:r w:rsidR="00F531FA" w:rsidRPr="006F60E6">
        <w:rPr>
          <w:rFonts w:ascii="Times New Roman" w:hAnsi="Times New Roman" w:cs="Times New Roman"/>
          <w:sz w:val="24"/>
          <w:szCs w:val="24"/>
        </w:rPr>
        <w:t xml:space="preserve">propensity to be </w:t>
      </w:r>
      <w:r w:rsidR="005441CF" w:rsidRPr="006F60E6">
        <w:rPr>
          <w:rFonts w:ascii="Times New Roman" w:hAnsi="Times New Roman" w:cs="Times New Roman"/>
          <w:sz w:val="24"/>
          <w:szCs w:val="24"/>
        </w:rPr>
        <w:t>overweight/obes</w:t>
      </w:r>
      <w:r w:rsidR="00827444">
        <w:rPr>
          <w:rFonts w:ascii="Times New Roman" w:hAnsi="Times New Roman" w:cs="Times New Roman"/>
          <w:sz w:val="24"/>
          <w:szCs w:val="24"/>
        </w:rPr>
        <w:t>e</w:t>
      </w:r>
      <w:r w:rsidR="005441CF" w:rsidRPr="006F60E6">
        <w:rPr>
          <w:rFonts w:ascii="Times New Roman" w:hAnsi="Times New Roman" w:cs="Times New Roman"/>
          <w:sz w:val="24"/>
          <w:szCs w:val="24"/>
        </w:rPr>
        <w:t xml:space="preserve"> </w:t>
      </w:r>
      <w:r w:rsidRPr="006F60E6">
        <w:rPr>
          <w:rFonts w:ascii="Times New Roman" w:hAnsi="Times New Roman" w:cs="Times New Roman"/>
          <w:sz w:val="24"/>
          <w:szCs w:val="24"/>
        </w:rPr>
        <w:t>.</w:t>
      </w:r>
    </w:p>
    <w:p w14:paraId="4E9E1B80" w14:textId="77777777" w:rsidR="00CC5E58" w:rsidRDefault="00B84693" w:rsidP="009C3558">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As a test for the robustness of our results, we use a second measure of intrahousehold status: a woman has higher status if she is the higher ranked daughter-in-law (</w:t>
      </w:r>
      <w:proofErr w:type="spellStart"/>
      <w:r>
        <w:rPr>
          <w:rFonts w:ascii="Times New Roman" w:hAnsi="Times New Roman" w:cs="Times New Roman"/>
          <w:i/>
          <w:noProof/>
          <w:sz w:val="24"/>
          <w:szCs w:val="24"/>
        </w:rPr>
        <w:t>badi</w:t>
      </w:r>
      <w:proofErr w:type="spellEnd"/>
      <w:r>
        <w:rPr>
          <w:rFonts w:ascii="Times New Roman" w:hAnsi="Times New Roman" w:cs="Times New Roman"/>
          <w:i/>
          <w:sz w:val="24"/>
          <w:szCs w:val="24"/>
        </w:rPr>
        <w:t>-bahu</w:t>
      </w:r>
      <w:r>
        <w:rPr>
          <w:rFonts w:ascii="Times New Roman" w:hAnsi="Times New Roman" w:cs="Times New Roman"/>
          <w:sz w:val="24"/>
          <w:szCs w:val="24"/>
        </w:rPr>
        <w:t xml:space="preserve">) in a joint patrilocal family (Coffey </w:t>
      </w:r>
      <w:r>
        <w:rPr>
          <w:rFonts w:ascii="Times New Roman" w:hAnsi="Times New Roman" w:cs="Times New Roman"/>
          <w:i/>
          <w:sz w:val="24"/>
          <w:szCs w:val="24"/>
        </w:rPr>
        <w:t>et al.</w:t>
      </w:r>
      <w:r>
        <w:rPr>
          <w:rFonts w:ascii="Times New Roman" w:hAnsi="Times New Roman" w:cs="Times New Roman"/>
          <w:sz w:val="24"/>
          <w:szCs w:val="24"/>
        </w:rPr>
        <w:t xml:space="preserve"> 2015).</w:t>
      </w:r>
      <w:r w:rsidR="00E924DD">
        <w:rPr>
          <w:rFonts w:ascii="Times New Roman" w:hAnsi="Times New Roman" w:cs="Times New Roman"/>
          <w:sz w:val="24"/>
          <w:szCs w:val="24"/>
        </w:rPr>
        <w:t xml:space="preserve"> </w:t>
      </w:r>
      <w:r w:rsidR="009C3558">
        <w:rPr>
          <w:rFonts w:ascii="Times New Roman" w:eastAsiaTheme="minorEastAsia" w:hAnsi="Times New Roman" w:cs="Times New Roman"/>
          <w:sz w:val="24"/>
          <w:szCs w:val="24"/>
        </w:rPr>
        <w:t xml:space="preserve">Like Coffey </w:t>
      </w:r>
      <w:r w:rsidR="009C3558">
        <w:rPr>
          <w:rFonts w:ascii="Times New Roman" w:eastAsiaTheme="minorEastAsia" w:hAnsi="Times New Roman" w:cs="Times New Roman"/>
          <w:i/>
          <w:sz w:val="24"/>
          <w:szCs w:val="24"/>
        </w:rPr>
        <w:t>et al.</w:t>
      </w:r>
      <w:r w:rsidR="009C3558">
        <w:rPr>
          <w:rFonts w:ascii="Times New Roman" w:eastAsiaTheme="minorEastAsia" w:hAnsi="Times New Roman" w:cs="Times New Roman"/>
          <w:sz w:val="24"/>
          <w:szCs w:val="24"/>
        </w:rPr>
        <w:t xml:space="preserve"> 2015, we use the subset of</w:t>
      </w:r>
      <w:r w:rsidR="00172B51">
        <w:rPr>
          <w:rFonts w:ascii="Times New Roman" w:eastAsiaTheme="minorEastAsia" w:hAnsi="Times New Roman" w:cs="Times New Roman"/>
          <w:sz w:val="24"/>
          <w:szCs w:val="24"/>
        </w:rPr>
        <w:t xml:space="preserve"> </w:t>
      </w:r>
      <w:r w:rsidR="00172B51" w:rsidRPr="00172B51">
        <w:rPr>
          <w:rFonts w:ascii="Times New Roman" w:eastAsiaTheme="minorEastAsia" w:hAnsi="Times New Roman" w:cs="Times New Roman"/>
          <w:sz w:val="24"/>
          <w:szCs w:val="24"/>
        </w:rPr>
        <w:t>2,850</w:t>
      </w:r>
      <w:r w:rsidR="009C3558">
        <w:rPr>
          <w:rFonts w:ascii="Times New Roman" w:eastAsiaTheme="minorEastAsia" w:hAnsi="Times New Roman" w:cs="Times New Roman"/>
          <w:sz w:val="24"/>
          <w:szCs w:val="24"/>
        </w:rPr>
        <w:t xml:space="preserve"> joint patrilocal households living in both urban and rural India. Joint patrilocal households are those in which adult sons live with their parents, their wives, and their children. We consider only those instances where there are two married sons. </w:t>
      </w:r>
      <w:r w:rsidR="005563CF">
        <w:rPr>
          <w:rFonts w:ascii="Times New Roman" w:eastAsiaTheme="minorEastAsia" w:hAnsi="Times New Roman" w:cs="Times New Roman"/>
          <w:sz w:val="24"/>
          <w:szCs w:val="24"/>
        </w:rPr>
        <w:t>In such cases, w</w:t>
      </w:r>
      <w:r w:rsidR="009C3558">
        <w:rPr>
          <w:rFonts w:ascii="Times New Roman" w:eastAsiaTheme="minorEastAsia" w:hAnsi="Times New Roman" w:cs="Times New Roman"/>
          <w:sz w:val="24"/>
          <w:szCs w:val="24"/>
        </w:rPr>
        <w:t>omen who are married to the older son (</w:t>
      </w:r>
      <w:proofErr w:type="spellStart"/>
      <w:r w:rsidR="009C3558">
        <w:rPr>
          <w:rFonts w:ascii="Times New Roman" w:eastAsiaTheme="minorEastAsia" w:hAnsi="Times New Roman" w:cs="Times New Roman"/>
          <w:i/>
          <w:sz w:val="24"/>
          <w:szCs w:val="24"/>
        </w:rPr>
        <w:t>badi</w:t>
      </w:r>
      <w:proofErr w:type="spellEnd"/>
      <w:r w:rsidR="009C3558">
        <w:rPr>
          <w:rFonts w:ascii="Times New Roman" w:eastAsiaTheme="minorEastAsia" w:hAnsi="Times New Roman" w:cs="Times New Roman"/>
          <w:i/>
          <w:sz w:val="24"/>
          <w:szCs w:val="24"/>
        </w:rPr>
        <w:t>-bahu</w:t>
      </w:r>
      <w:r w:rsidR="009C3558">
        <w:rPr>
          <w:rFonts w:ascii="Times New Roman" w:eastAsiaTheme="minorEastAsia" w:hAnsi="Times New Roman" w:cs="Times New Roman"/>
          <w:sz w:val="24"/>
          <w:szCs w:val="24"/>
        </w:rPr>
        <w:t>s) have a higher intrahousehold status than women who are married to the younger son (</w:t>
      </w:r>
      <w:proofErr w:type="spellStart"/>
      <w:r w:rsidR="009C3558">
        <w:rPr>
          <w:rFonts w:ascii="Times New Roman" w:eastAsiaTheme="minorEastAsia" w:hAnsi="Times New Roman" w:cs="Times New Roman"/>
          <w:i/>
          <w:sz w:val="24"/>
          <w:szCs w:val="24"/>
        </w:rPr>
        <w:t>chhoti</w:t>
      </w:r>
      <w:proofErr w:type="spellEnd"/>
      <w:r w:rsidR="009C3558">
        <w:rPr>
          <w:rFonts w:ascii="Times New Roman" w:eastAsiaTheme="minorEastAsia" w:hAnsi="Times New Roman" w:cs="Times New Roman"/>
          <w:i/>
          <w:sz w:val="24"/>
          <w:szCs w:val="24"/>
        </w:rPr>
        <w:t>-bahus</w:t>
      </w:r>
      <w:r w:rsidR="009C3558">
        <w:rPr>
          <w:rFonts w:ascii="Times New Roman" w:eastAsiaTheme="minorEastAsia" w:hAnsi="Times New Roman" w:cs="Times New Roman"/>
          <w:sz w:val="24"/>
          <w:szCs w:val="24"/>
        </w:rPr>
        <w:t xml:space="preserve">). </w:t>
      </w:r>
    </w:p>
    <w:p w14:paraId="2291E128" w14:textId="77777777" w:rsidR="009C3558" w:rsidRDefault="00964350" w:rsidP="009C355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Coffey </w:t>
      </w:r>
      <w:r>
        <w:rPr>
          <w:rFonts w:ascii="Times New Roman" w:eastAsiaTheme="minorEastAsia" w:hAnsi="Times New Roman" w:cs="Times New Roman"/>
          <w:i/>
          <w:sz w:val="24"/>
          <w:szCs w:val="24"/>
        </w:rPr>
        <w:t>et al.</w:t>
      </w:r>
      <w:r>
        <w:rPr>
          <w:rFonts w:ascii="Times New Roman" w:eastAsiaTheme="minorEastAsia" w:hAnsi="Times New Roman" w:cs="Times New Roman"/>
          <w:sz w:val="24"/>
          <w:szCs w:val="24"/>
        </w:rPr>
        <w:t xml:space="preserve"> 2015 show that</w:t>
      </w:r>
      <w:r w:rsidR="009C3558">
        <w:rPr>
          <w:rFonts w:ascii="Times New Roman" w:eastAsiaTheme="minorEastAsia" w:hAnsi="Times New Roman" w:cs="Times New Roman"/>
          <w:sz w:val="24"/>
          <w:szCs w:val="24"/>
        </w:rPr>
        <w:t xml:space="preserve"> status is assigned </w:t>
      </w:r>
      <w:r w:rsidR="009C3558" w:rsidRPr="00CC5E58">
        <w:rPr>
          <w:rFonts w:ascii="Times New Roman" w:eastAsiaTheme="minorEastAsia" w:hAnsi="Times New Roman" w:cs="Times New Roman"/>
          <w:i/>
          <w:sz w:val="24"/>
          <w:szCs w:val="24"/>
        </w:rPr>
        <w:t>after</w:t>
      </w:r>
      <w:r w:rsidR="009C3558">
        <w:rPr>
          <w:rFonts w:ascii="Times New Roman" w:eastAsiaTheme="minorEastAsia" w:hAnsi="Times New Roman" w:cs="Times New Roman"/>
          <w:sz w:val="24"/>
          <w:szCs w:val="24"/>
        </w:rPr>
        <w:t xml:space="preserve"> a woman marries into a joint household, and marriage does not sort women of different status</w:t>
      </w:r>
      <w:r>
        <w:rPr>
          <w:rFonts w:ascii="Times New Roman" w:eastAsiaTheme="minorEastAsia" w:hAnsi="Times New Roman" w:cs="Times New Roman"/>
          <w:sz w:val="24"/>
          <w:szCs w:val="24"/>
        </w:rPr>
        <w:t>es</w:t>
      </w:r>
      <w:r w:rsidR="009C3558">
        <w:rPr>
          <w:rFonts w:ascii="Times New Roman" w:eastAsiaTheme="minorEastAsia" w:hAnsi="Times New Roman" w:cs="Times New Roman"/>
          <w:sz w:val="24"/>
          <w:szCs w:val="24"/>
        </w:rPr>
        <w:t xml:space="preserve"> into different ranks</w:t>
      </w:r>
      <w:r>
        <w:rPr>
          <w:rFonts w:ascii="Times New Roman" w:eastAsiaTheme="minorEastAsia" w:hAnsi="Times New Roman" w:cs="Times New Roman"/>
          <w:sz w:val="24"/>
          <w:szCs w:val="24"/>
        </w:rPr>
        <w:t>.</w:t>
      </w:r>
      <w:r w:rsidR="009C3558">
        <w:rPr>
          <w:rFonts w:ascii="Times New Roman" w:eastAsiaTheme="minorEastAsia" w:hAnsi="Times New Roman" w:cs="Times New Roman"/>
          <w:sz w:val="24"/>
          <w:szCs w:val="24"/>
        </w:rPr>
        <w:t xml:space="preserve"> </w:t>
      </w:r>
      <w:r w:rsidR="00BC15C0">
        <w:rPr>
          <w:rFonts w:ascii="Times New Roman" w:eastAsiaTheme="minorEastAsia" w:hAnsi="Times New Roman" w:cs="Times New Roman"/>
          <w:sz w:val="24"/>
          <w:szCs w:val="24"/>
        </w:rPr>
        <w:t>Thus, a daughter-in-law’s rank is exogenously determined, and a lower rank implies lower intrahousehold status</w:t>
      </w:r>
      <w:r>
        <w:rPr>
          <w:rFonts w:ascii="Times New Roman" w:eastAsiaTheme="minorEastAsia" w:hAnsi="Times New Roman" w:cs="Times New Roman"/>
          <w:sz w:val="24"/>
          <w:szCs w:val="24"/>
        </w:rPr>
        <w:t>, while a higher rank implies higher intrahousehold status</w:t>
      </w:r>
      <w:r w:rsidR="00BC15C0">
        <w:rPr>
          <w:rFonts w:ascii="Times New Roman" w:eastAsiaTheme="minorEastAsia" w:hAnsi="Times New Roman" w:cs="Times New Roman"/>
          <w:sz w:val="24"/>
          <w:szCs w:val="24"/>
        </w:rPr>
        <w:t>.</w:t>
      </w:r>
    </w:p>
    <w:p w14:paraId="51778556" w14:textId="77777777" w:rsidR="003A3F3D" w:rsidRDefault="003A3F3D" w:rsidP="003A3F3D">
      <w:pPr>
        <w:spacing w:line="360" w:lineRule="auto"/>
        <w:jc w:val="both"/>
        <w:rPr>
          <w:rFonts w:ascii="Times New Roman" w:hAnsi="Times New Roman" w:cs="Times New Roman"/>
          <w:sz w:val="24"/>
          <w:szCs w:val="24"/>
        </w:rPr>
      </w:pPr>
      <w:r>
        <w:rPr>
          <w:rFonts w:ascii="Times New Roman" w:hAnsi="Times New Roman" w:cs="Times New Roman"/>
          <w:sz w:val="24"/>
          <w:szCs w:val="24"/>
        </w:rPr>
        <w:t>We use intra-household regression</w:t>
      </w:r>
      <w:r w:rsidR="00C13F3E">
        <w:rPr>
          <w:rFonts w:ascii="Times New Roman" w:hAnsi="Times New Roman" w:cs="Times New Roman"/>
          <w:sz w:val="24"/>
          <w:szCs w:val="24"/>
        </w:rPr>
        <w:t>s</w:t>
      </w:r>
      <w:r>
        <w:rPr>
          <w:rFonts w:ascii="Times New Roman" w:hAnsi="Times New Roman" w:cs="Times New Roman"/>
          <w:sz w:val="24"/>
          <w:szCs w:val="24"/>
        </w:rPr>
        <w:t xml:space="preserve"> to causally estimate the relationship between daughter-in-law’s rank and BMI</w:t>
      </w:r>
      <w:r w:rsidR="00C13F3E">
        <w:rPr>
          <w:rFonts w:ascii="Times New Roman" w:hAnsi="Times New Roman" w:cs="Times New Roman"/>
          <w:sz w:val="24"/>
          <w:szCs w:val="24"/>
        </w:rPr>
        <w:t xml:space="preserve">, </w:t>
      </w:r>
      <w:r>
        <w:rPr>
          <w:rFonts w:ascii="Times New Roman" w:hAnsi="Times New Roman" w:cs="Times New Roman"/>
          <w:sz w:val="24"/>
          <w:szCs w:val="24"/>
        </w:rPr>
        <w:t>estimating coefficients from the following regression:</w:t>
      </w:r>
    </w:p>
    <w:p w14:paraId="71430ADB" w14:textId="77777777" w:rsidR="003A3F3D" w:rsidRDefault="00FF3D14" w:rsidP="003A3F3D">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BMI</m:t>
              </m:r>
            </m:e>
            <m:sub>
              <m:r>
                <w:rPr>
                  <w:rFonts w:ascii="Cambria Math" w:hAnsi="Cambria Math" w:cs="Times New Roman"/>
                  <w:sz w:val="24"/>
                  <w:szCs w:val="24"/>
                </w:rPr>
                <m:t>ih</m:t>
              </m:r>
            </m:sub>
          </m:sSub>
          <m:r>
            <w:rPr>
              <w:rFonts w:ascii="Cambria Math" w:hAnsi="Cambria Math" w:cs="Times New Roman"/>
              <w:sz w:val="24"/>
              <w:szCs w:val="24"/>
            </w:rPr>
            <m:t>= β</m:t>
          </m:r>
          <m:sSub>
            <m:sSubPr>
              <m:ctrlPr>
                <w:rPr>
                  <w:rFonts w:ascii="Cambria Math" w:hAnsi="Cambria Math" w:cs="Times New Roman"/>
                  <w:i/>
                  <w:sz w:val="24"/>
                  <w:szCs w:val="24"/>
                </w:rPr>
              </m:ctrlPr>
            </m:sSubPr>
            <m:e>
              <m:r>
                <w:rPr>
                  <w:rFonts w:ascii="Cambria Math" w:hAnsi="Cambria Math" w:cs="Times New Roman"/>
                  <w:sz w:val="24"/>
                  <w:szCs w:val="24"/>
                </w:rPr>
                <m:t xml:space="preserve"> chhoti_bahu</m:t>
              </m:r>
            </m:e>
            <m:sub>
              <m:r>
                <w:rPr>
                  <w:rFonts w:ascii="Cambria Math" w:hAnsi="Cambria Math" w:cs="Times New Roman"/>
                  <w:sz w:val="24"/>
                  <w:szCs w:val="24"/>
                </w:rPr>
                <m:t>ih</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h</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ih</m:t>
              </m:r>
            </m:sub>
          </m:sSub>
        </m:oMath>
      </m:oMathPara>
    </w:p>
    <w:p w14:paraId="340472DD" w14:textId="77777777" w:rsidR="00CE0538" w:rsidRPr="003A3F3D" w:rsidRDefault="003A3F3D" w:rsidP="009C3558">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where</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i</w:t>
      </w:r>
      <w:proofErr w:type="spellEnd"/>
      <w:r>
        <w:rPr>
          <w:rFonts w:ascii="Times New Roman" w:hAnsi="Times New Roman" w:cs="Times New Roman"/>
          <w:sz w:val="24"/>
          <w:szCs w:val="24"/>
        </w:rPr>
        <w:t xml:space="preserve"> denotes individual women; h denotes households;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is a set of household fixed effects; </w:t>
      </w:r>
      <m:oMath>
        <m:sSub>
          <m:sSubPr>
            <m:ctrlPr>
              <w:rPr>
                <w:rFonts w:ascii="Cambria Math" w:hAnsi="Cambria Math" w:cs="Times New Roman"/>
                <w:i/>
                <w:szCs w:val="24"/>
              </w:rPr>
            </m:ctrlPr>
          </m:sSubPr>
          <m:e>
            <m:r>
              <w:rPr>
                <w:rFonts w:ascii="Cambria Math" w:hAnsi="Cambria Math" w:cs="Times New Roman"/>
                <w:szCs w:val="24"/>
              </w:rPr>
              <m:t xml:space="preserve"> chhoti_bahu</m:t>
            </m:r>
          </m:e>
          <m:sub>
            <m:r>
              <w:rPr>
                <w:rFonts w:ascii="Cambria Math" w:hAnsi="Cambria Math" w:cs="Times New Roman"/>
                <w:szCs w:val="24"/>
              </w:rPr>
              <m:t>ih</m:t>
            </m:r>
          </m:sub>
        </m:sSub>
      </m:oMath>
      <w:r>
        <w:rPr>
          <w:rFonts w:ascii="Times New Roman" w:eastAsiaTheme="minorEastAsia" w:hAnsi="Times New Roman" w:cs="Times New Roman"/>
          <w:sz w:val="24"/>
          <w:szCs w:val="24"/>
        </w:rPr>
        <w:t xml:space="preserve"> denotes the lower-ranked daughter in law in a household.</w:t>
      </w:r>
    </w:p>
    <w:p w14:paraId="29B75324" w14:textId="77777777" w:rsidR="00443B90" w:rsidRPr="00173D68" w:rsidRDefault="00173D68" w:rsidP="00173D6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2.2. </w:t>
      </w:r>
      <w:r w:rsidR="00443B90" w:rsidRPr="00173D68">
        <w:rPr>
          <w:rFonts w:ascii="Times New Roman" w:hAnsi="Times New Roman" w:cs="Times New Roman"/>
          <w:b/>
          <w:sz w:val="24"/>
          <w:szCs w:val="24"/>
        </w:rPr>
        <w:t xml:space="preserve">Mechanisms linking intrahousehold status to </w:t>
      </w:r>
      <w:r w:rsidR="00D138F8">
        <w:rPr>
          <w:rFonts w:ascii="Times New Roman" w:hAnsi="Times New Roman" w:cs="Times New Roman"/>
          <w:b/>
          <w:sz w:val="24"/>
          <w:szCs w:val="24"/>
        </w:rPr>
        <w:t>BMI</w:t>
      </w:r>
    </w:p>
    <w:p w14:paraId="78FD5129" w14:textId="205197BE" w:rsidR="00FD0A66" w:rsidRDefault="002A4C29"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9C3558">
        <w:rPr>
          <w:rFonts w:ascii="Times New Roman" w:hAnsi="Times New Roman" w:cs="Times New Roman"/>
          <w:sz w:val="24"/>
          <w:szCs w:val="24"/>
        </w:rPr>
        <w:t>e study whether leisure</w:t>
      </w:r>
      <w:r w:rsidR="000F0C13">
        <w:rPr>
          <w:rFonts w:ascii="Times New Roman" w:hAnsi="Times New Roman" w:cs="Times New Roman"/>
          <w:sz w:val="24"/>
          <w:szCs w:val="24"/>
        </w:rPr>
        <w:t xml:space="preserve"> </w:t>
      </w:r>
      <w:r w:rsidR="009C3558">
        <w:rPr>
          <w:rFonts w:ascii="Times New Roman" w:hAnsi="Times New Roman" w:cs="Times New Roman"/>
          <w:sz w:val="24"/>
          <w:szCs w:val="24"/>
        </w:rPr>
        <w:t>a</w:t>
      </w:r>
      <w:r w:rsidR="00D40C17">
        <w:rPr>
          <w:rFonts w:ascii="Times New Roman" w:hAnsi="Times New Roman" w:cs="Times New Roman"/>
          <w:sz w:val="24"/>
          <w:szCs w:val="24"/>
        </w:rPr>
        <w:t xml:space="preserve">nd </w:t>
      </w:r>
      <w:r w:rsidR="000B4F19">
        <w:rPr>
          <w:rFonts w:ascii="Times New Roman" w:hAnsi="Times New Roman" w:cs="Times New Roman"/>
          <w:sz w:val="24"/>
          <w:szCs w:val="24"/>
        </w:rPr>
        <w:t>eating habits</w:t>
      </w:r>
      <w:r w:rsidR="009C3558">
        <w:rPr>
          <w:rFonts w:ascii="Times New Roman" w:hAnsi="Times New Roman" w:cs="Times New Roman"/>
          <w:sz w:val="24"/>
          <w:szCs w:val="24"/>
        </w:rPr>
        <w:t xml:space="preserve"> are possible mechanisms linking </w:t>
      </w:r>
      <w:r w:rsidR="00B34FCC">
        <w:rPr>
          <w:rFonts w:ascii="Times New Roman" w:hAnsi="Times New Roman" w:cs="Times New Roman"/>
          <w:sz w:val="24"/>
          <w:szCs w:val="24"/>
        </w:rPr>
        <w:t xml:space="preserve">intrahousehold </w:t>
      </w:r>
      <w:r w:rsidR="009C3558">
        <w:rPr>
          <w:rFonts w:ascii="Times New Roman" w:hAnsi="Times New Roman" w:cs="Times New Roman"/>
          <w:sz w:val="24"/>
          <w:szCs w:val="24"/>
        </w:rPr>
        <w:t xml:space="preserve">status to </w:t>
      </w:r>
      <w:r w:rsidR="00B34FCC">
        <w:rPr>
          <w:rFonts w:ascii="Times New Roman" w:hAnsi="Times New Roman" w:cs="Times New Roman"/>
          <w:sz w:val="24"/>
          <w:szCs w:val="24"/>
        </w:rPr>
        <w:t xml:space="preserve">women’s </w:t>
      </w:r>
      <w:r w:rsidR="009C3558">
        <w:rPr>
          <w:rFonts w:ascii="Times New Roman" w:hAnsi="Times New Roman" w:cs="Times New Roman"/>
          <w:sz w:val="24"/>
          <w:szCs w:val="24"/>
        </w:rPr>
        <w:t>overweight and obesity in India.</w:t>
      </w:r>
    </w:p>
    <w:p w14:paraId="291F7DDE" w14:textId="77777777" w:rsidR="00921387"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We use the frequency of watching television as a proxy for leisure</w:t>
      </w:r>
      <w:r w:rsidR="000C27D9">
        <w:rPr>
          <w:rFonts w:ascii="Times New Roman" w:hAnsi="Times New Roman" w:cs="Times New Roman"/>
          <w:sz w:val="24"/>
          <w:szCs w:val="24"/>
        </w:rPr>
        <w:t xml:space="preserve"> consumption</w:t>
      </w:r>
      <w:r>
        <w:rPr>
          <w:rFonts w:ascii="Times New Roman" w:hAnsi="Times New Roman" w:cs="Times New Roman"/>
          <w:sz w:val="24"/>
          <w:szCs w:val="24"/>
        </w:rPr>
        <w:t xml:space="preserve"> (in the absence of recent time-use data</w:t>
      </w:r>
      <w:r w:rsidR="00262A1F">
        <w:rPr>
          <w:rFonts w:ascii="Times New Roman" w:hAnsi="Times New Roman" w:cs="Times New Roman"/>
          <w:sz w:val="24"/>
          <w:szCs w:val="24"/>
        </w:rPr>
        <w:t xml:space="preserve"> in India</w:t>
      </w:r>
      <w:r>
        <w:rPr>
          <w:rFonts w:ascii="Times New Roman" w:hAnsi="Times New Roman" w:cs="Times New Roman"/>
          <w:sz w:val="24"/>
          <w:szCs w:val="24"/>
        </w:rPr>
        <w:t>)</w:t>
      </w:r>
      <w:r w:rsidR="00E82168">
        <w:rPr>
          <w:rFonts w:ascii="Times New Roman" w:hAnsi="Times New Roman" w:cs="Times New Roman"/>
          <w:sz w:val="24"/>
          <w:szCs w:val="24"/>
        </w:rPr>
        <w:t xml:space="preserve"> and</w:t>
      </w:r>
      <w:r>
        <w:rPr>
          <w:rFonts w:ascii="Times New Roman" w:hAnsi="Times New Roman" w:cs="Times New Roman"/>
          <w:sz w:val="24"/>
          <w:szCs w:val="24"/>
        </w:rPr>
        <w:t xml:space="preserve"> a linear probability model to estimate the effect of intrahousehold status</w:t>
      </w:r>
      <w:r w:rsidR="00FD0A66">
        <w:rPr>
          <w:rFonts w:ascii="Times New Roman" w:hAnsi="Times New Roman" w:cs="Times New Roman"/>
          <w:sz w:val="24"/>
          <w:szCs w:val="24"/>
        </w:rPr>
        <w:t xml:space="preserve">. </w:t>
      </w:r>
      <w:r>
        <w:rPr>
          <w:rFonts w:ascii="Times New Roman" w:hAnsi="Times New Roman" w:cs="Times New Roman"/>
          <w:sz w:val="24"/>
          <w:szCs w:val="24"/>
        </w:rPr>
        <w:t xml:space="preserve">The dependent variable is a binary indicator of whether a woman watches TV frequently, or not. It is created using information from NFHS-4 on the frequency of watching television, coded as - never watch, watch occasionally, watch weekly, and watch daily. We combine those who watch </w:t>
      </w:r>
      <w:r w:rsidR="00C27044">
        <w:rPr>
          <w:rFonts w:ascii="Times New Roman" w:hAnsi="Times New Roman" w:cs="Times New Roman"/>
          <w:sz w:val="24"/>
          <w:szCs w:val="24"/>
        </w:rPr>
        <w:t xml:space="preserve">TV </w:t>
      </w:r>
      <w:r>
        <w:rPr>
          <w:rFonts w:ascii="Times New Roman" w:hAnsi="Times New Roman" w:cs="Times New Roman"/>
          <w:sz w:val="24"/>
          <w:szCs w:val="24"/>
        </w:rPr>
        <w:t xml:space="preserve">weekly and daily into the category of women who </w:t>
      </w:r>
      <w:r>
        <w:rPr>
          <w:rFonts w:ascii="Times New Roman" w:hAnsi="Times New Roman" w:cs="Times New Roman"/>
          <w:sz w:val="24"/>
          <w:szCs w:val="24"/>
        </w:rPr>
        <w:lastRenderedPageBreak/>
        <w:t>frequently watch TV. In each regression, we also control for other variables that might affect television watching, like education, age, caste, religion, and household wealth.</w:t>
      </w:r>
    </w:p>
    <w:p w14:paraId="1DE0E8E6" w14:textId="19BA2042" w:rsidR="00C20267"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NFHS-4 records the frequency of</w:t>
      </w:r>
      <w:r w:rsidR="00FC2316">
        <w:rPr>
          <w:rFonts w:ascii="Times New Roman" w:hAnsi="Times New Roman" w:cs="Times New Roman"/>
          <w:sz w:val="24"/>
          <w:szCs w:val="24"/>
        </w:rPr>
        <w:t xml:space="preserve"> an individual’s</w:t>
      </w:r>
      <w:r>
        <w:rPr>
          <w:rFonts w:ascii="Times New Roman" w:hAnsi="Times New Roman" w:cs="Times New Roman"/>
          <w:sz w:val="24"/>
          <w:szCs w:val="24"/>
        </w:rPr>
        <w:t xml:space="preserve"> consumption of food</w:t>
      </w:r>
      <w:r w:rsidR="00063D35">
        <w:rPr>
          <w:rFonts w:ascii="Times New Roman" w:hAnsi="Times New Roman" w:cs="Times New Roman"/>
          <w:sz w:val="24"/>
          <w:szCs w:val="24"/>
        </w:rPr>
        <w:t xml:space="preserve"> groups</w:t>
      </w:r>
      <w:r w:rsidR="00711BBE">
        <w:rPr>
          <w:rFonts w:ascii="Times New Roman" w:hAnsi="Times New Roman" w:cs="Times New Roman"/>
          <w:sz w:val="24"/>
          <w:szCs w:val="24"/>
        </w:rPr>
        <w:t xml:space="preserve"> — </w:t>
      </w:r>
      <w:r>
        <w:rPr>
          <w:rFonts w:ascii="Times New Roman" w:hAnsi="Times New Roman" w:cs="Times New Roman"/>
          <w:sz w:val="24"/>
          <w:szCs w:val="24"/>
        </w:rPr>
        <w:t xml:space="preserve">cereals, pulses, fruits, vegetables, eggs, fish, meat, aerated drinks, and fried foods </w:t>
      </w:r>
      <w:r w:rsidR="00711BBE">
        <w:rPr>
          <w:rFonts w:ascii="Times New Roman" w:hAnsi="Times New Roman" w:cs="Times New Roman"/>
          <w:sz w:val="24"/>
          <w:szCs w:val="24"/>
        </w:rPr>
        <w:t xml:space="preserve">— </w:t>
      </w:r>
      <w:r>
        <w:rPr>
          <w:rFonts w:ascii="Times New Roman" w:hAnsi="Times New Roman" w:cs="Times New Roman"/>
          <w:sz w:val="24"/>
          <w:szCs w:val="24"/>
        </w:rPr>
        <w:t>in the week before the survey. However, the</w:t>
      </w:r>
      <w:r w:rsidR="00F25CA9">
        <w:rPr>
          <w:rFonts w:ascii="Times New Roman" w:hAnsi="Times New Roman" w:cs="Times New Roman"/>
          <w:sz w:val="24"/>
          <w:szCs w:val="24"/>
        </w:rPr>
        <w:t xml:space="preserve"> food consumption </w:t>
      </w:r>
      <w:r>
        <w:rPr>
          <w:rFonts w:ascii="Times New Roman" w:hAnsi="Times New Roman" w:cs="Times New Roman"/>
          <w:sz w:val="24"/>
          <w:szCs w:val="24"/>
        </w:rPr>
        <w:t xml:space="preserve">data in NFHS-4 is </w:t>
      </w:r>
      <w:r w:rsidR="006119A3">
        <w:rPr>
          <w:rFonts w:ascii="Times New Roman" w:hAnsi="Times New Roman" w:cs="Times New Roman"/>
          <w:sz w:val="24"/>
          <w:szCs w:val="24"/>
        </w:rPr>
        <w:t>imprecise</w:t>
      </w:r>
      <w:r>
        <w:rPr>
          <w:rFonts w:ascii="Times New Roman" w:hAnsi="Times New Roman" w:cs="Times New Roman"/>
          <w:sz w:val="24"/>
          <w:szCs w:val="24"/>
        </w:rPr>
        <w:t xml:space="preserve"> </w:t>
      </w:r>
      <w:r w:rsidR="008D4CDD">
        <w:rPr>
          <w:rFonts w:ascii="Times New Roman" w:hAnsi="Times New Roman" w:cs="Times New Roman"/>
          <w:sz w:val="24"/>
          <w:szCs w:val="24"/>
        </w:rPr>
        <w:t>and</w:t>
      </w:r>
      <w:r>
        <w:rPr>
          <w:rFonts w:ascii="Times New Roman" w:hAnsi="Times New Roman" w:cs="Times New Roman"/>
          <w:sz w:val="24"/>
          <w:szCs w:val="24"/>
        </w:rPr>
        <w:t xml:space="preserve"> inconsistent with other national surveys </w:t>
      </w:r>
      <w:r>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{"citationItems":[{"id":"ITEM-1","itemData":{"abstract":"Nutrition research in India has previously focused on the serious problem of undernutrition related to nutrient deficit and high rates of infection. Recent data from the National Family Health Survey 1998/99 (NFHS 2), however, identified a significant proportion of Indian women as overweight, coexisting with high rates of malnutrition. This paper examines the emerging nutrition transition for women living in rural and urban communities of Andhra Pradesh, India. NFHS 2 provides nationally representative data on women's weight and height. In this paper, we examine representative data from the state of Andhra Pradesh (n = 4032 women). Logistic regression analyses are applied to the data to identify socioeconomic, regional and demographic determinants of overweight and thinness. The major nutrition problem facing women continues to be undernutrition, with 37% having a low body mass index [(BMI) &lt; 18.5 kg/m(2)]; 8% of these women are severely malnourished (BMI &lt; 16 kg/m(2)). However, 12% of the women can be classified as overweight (BMI &gt; 25 kg/m(2)) and 2% are obese (BMI &gt; 30 kg/m(2)). Furthermore, in the large cities of the state in which 4% of the sample live, 37% of women are overweight or obese, whereas in the rural areas in which 74% reside, 43% have a low BMI. Women from lower socioeconomic groups are also significantly more likely to have a low BMI. Findings from the logistic regression models reveal socioeconomic status to be a more important predictor of both over- and underweight than location of residence.","author":[{"dropping-particle":"","family":"Griffiths","given":"P L","non-dropping-particle":"","parse-names":false,"suffix":""},{"dropping-particle":"","family":"Bentley","given":"M E","non-dropping-particle":"","parse-names":false,"suffix":""}],"container-title":"The Journal of nutrition","id":"ITEM-1","issue":"10","issued":{"date-parts":[["2001"]]},"page":"2692-2700","title":"The nutrition transition is underway in India.","type":"article-journal","volume":"131"},"uris":["http://www.mendeley.com/documents/?uuid=83764e10-ac9e-4fd8-b1fb-37afb6bbbafc"]},{"id":"ITEM-2","itemData":{"author":[{"dropping-particle":"","family":"Coffey","given":"Diane","non-dropping-particle":"","parse-names":false,"suffix":""},{"dropping-particle":"","family":"Spears","given":"Dean","non-dropping-particle":"","parse-names":false,"suffix":""}],"container-title":"Economic and Political Weekly","id":"ITEM-2","issue":"31","issued":{"date-parts":[["2018"]]},"title":"Child Height in India : Facts and Interpretations from the NFHS-4, 2015–16","type":"article-journal","volume":"53"},"uris":["http://www.mendeley.com/documents/?uuid=9463b2ea-5615-34c1-b211-3af88e95f534"]},{"id":"ITEM-3","itemData":{"author":[{"dropping-particle":"","family":"Joshi","given":"Kuhu","non-dropping-particle":"","parse-names":false,"suffix":""},{"dropping-particle":"","family":"Roy","given":"Devesh","non-dropping-particle":"","parse-names":false,"suffix":""},{"dropping-particle":"","family":"Iannotti","given":"Lora","non-dropping-particle":"","parse-names":false,"suffix":""},{"dropping-particle":"","family":"Nagar","given":"Aishwarya","non-dropping-particle":"","parse-names":false,"suffix":""},{"dropping-particle":"","family":"Kishore","given":"Avinash","non-dropping-particle":"","parse-names":false,"suffix":""}],"id":"ITEM-3","issued":{"date-parts":[["2019"]]},"title":"The effects of changing lifestyle and dietary patterns on obesity and non-communicable diseases in India","type":"report"},"uris":["http://www.mendeley.com/documents/?uuid=67b65773-b4eb-4eab-8d67-672122fe12a2"]}],"mendeley":{"formattedCitation":"(Coffey &amp; Spears, 2018; Griffiths &amp; Bentley, 2001; Joshi et al., 2019)","plainTextFormattedCitation":"(Coffey &amp; Spears, 2018; Griffiths &amp; Bentley, 2001; Joshi et al., 2019)","previouslyFormattedCitation":"(Coffey &amp; Spears, 2018; Griffiths &amp; Bentley, 2001; Joshi et al., 2019)"},"properties":{"noteIndex":0},"schema":"https://github.com/citation-style-language/schema/raw/master/csl-citation.json"}</w:instrText>
      </w:r>
      <w:r>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(Coffey &amp; Spears, 2018; Griffiths &amp; Bentley, 2001; Joshi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853713B" w14:textId="04C60083" w:rsidR="0084768C" w:rsidRDefault="009C3558" w:rsidP="00E404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use the </w:t>
      </w:r>
      <w:r w:rsidR="000B4F19" w:rsidRPr="00DF0105">
        <w:rPr>
          <w:rFonts w:ascii="Times New Roman" w:hAnsi="Times New Roman" w:cs="Times New Roman"/>
          <w:sz w:val="24"/>
          <w:szCs w:val="24"/>
        </w:rPr>
        <w:t xml:space="preserve">household consumer expenditure survey (CES) </w:t>
      </w:r>
      <w:r w:rsidR="000B4F19">
        <w:rPr>
          <w:rFonts w:ascii="Times New Roman" w:hAnsi="Times New Roman" w:cs="Times New Roman"/>
          <w:sz w:val="24"/>
          <w:szCs w:val="24"/>
        </w:rPr>
        <w:t>data collected by</w:t>
      </w:r>
      <w:r w:rsidR="000B4F19" w:rsidRPr="00DF0105">
        <w:rPr>
          <w:rFonts w:ascii="Times New Roman" w:hAnsi="Times New Roman" w:cs="Times New Roman"/>
          <w:sz w:val="24"/>
          <w:szCs w:val="24"/>
        </w:rPr>
        <w:t xml:space="preserve"> the National Sample Survey (NSS) in 2011-12</w:t>
      </w:r>
      <w:r w:rsidR="000B4F19">
        <w:rPr>
          <w:rFonts w:ascii="Times New Roman" w:hAnsi="Times New Roman" w:cs="Times New Roman"/>
          <w:sz w:val="24"/>
          <w:szCs w:val="24"/>
        </w:rPr>
        <w:t xml:space="preserve"> (68</w:t>
      </w:r>
      <w:r w:rsidR="000B4F19" w:rsidRPr="003364E4">
        <w:rPr>
          <w:rFonts w:ascii="Times New Roman" w:hAnsi="Times New Roman" w:cs="Times New Roman"/>
          <w:sz w:val="24"/>
          <w:szCs w:val="24"/>
          <w:vertAlign w:val="superscript"/>
        </w:rPr>
        <w:t>th</w:t>
      </w:r>
      <w:r w:rsidR="000B4F19">
        <w:rPr>
          <w:rFonts w:ascii="Times New Roman" w:hAnsi="Times New Roman" w:cs="Times New Roman"/>
          <w:sz w:val="24"/>
          <w:szCs w:val="24"/>
        </w:rPr>
        <w:t xml:space="preserve"> round) for the information on eating habits. The NSS-CES is a widely used data source on food consumption in India. The </w:t>
      </w:r>
      <w:r>
        <w:rPr>
          <w:rFonts w:ascii="Times New Roman" w:hAnsi="Times New Roman" w:cs="Times New Roman"/>
          <w:sz w:val="24"/>
          <w:szCs w:val="24"/>
        </w:rPr>
        <w:t xml:space="preserve">NSS-CES </w:t>
      </w:r>
      <w:r w:rsidR="000B4F19">
        <w:rPr>
          <w:rFonts w:ascii="Times New Roman" w:hAnsi="Times New Roman" w:cs="Times New Roman"/>
          <w:sz w:val="24"/>
          <w:szCs w:val="24"/>
        </w:rPr>
        <w:t xml:space="preserve">collects data on </w:t>
      </w:r>
      <w:r w:rsidR="007D337A">
        <w:rPr>
          <w:rFonts w:ascii="Times New Roman" w:hAnsi="Times New Roman" w:cs="Times New Roman"/>
          <w:sz w:val="24"/>
          <w:szCs w:val="24"/>
        </w:rPr>
        <w:t xml:space="preserve"> </w:t>
      </w:r>
      <w:r>
        <w:rPr>
          <w:rFonts w:ascii="Times New Roman" w:hAnsi="Times New Roman" w:cs="Times New Roman"/>
          <w:sz w:val="24"/>
          <w:szCs w:val="24"/>
        </w:rPr>
        <w:t>the number of paid meals taken away from home during the previous 30 days</w:t>
      </w:r>
      <w:r w:rsidR="000B4F19">
        <w:rPr>
          <w:rFonts w:ascii="Times New Roman" w:hAnsi="Times New Roman" w:cs="Times New Roman"/>
          <w:sz w:val="24"/>
          <w:szCs w:val="24"/>
        </w:rPr>
        <w:t xml:space="preserve"> from every member of the sampled households</w:t>
      </w:r>
      <w:r w:rsidRPr="00491FBC">
        <w:rPr>
          <w:rFonts w:ascii="Times New Roman" w:hAnsi="Times New Roman" w:cs="Times New Roman"/>
          <w:sz w:val="24"/>
          <w:szCs w:val="24"/>
        </w:rPr>
        <w:t>.</w:t>
      </w:r>
      <w:r w:rsidR="00463C53">
        <w:rPr>
          <w:rStyle w:val="FootnoteReference"/>
          <w:rFonts w:ascii="Times New Roman" w:hAnsi="Times New Roman" w:cs="Times New Roman"/>
          <w:sz w:val="24"/>
          <w:szCs w:val="24"/>
        </w:rPr>
        <w:footnoteReference w:id="3"/>
      </w:r>
      <w:r w:rsidR="00521A0E">
        <w:rPr>
          <w:rFonts w:ascii="Times New Roman" w:hAnsi="Times New Roman" w:cs="Times New Roman"/>
          <w:sz w:val="24"/>
          <w:szCs w:val="24"/>
        </w:rPr>
        <w:t xml:space="preserve"> </w:t>
      </w:r>
      <w:r w:rsidR="001E145C">
        <w:rPr>
          <w:rFonts w:ascii="Times New Roman" w:hAnsi="Times New Roman" w:cs="Times New Roman"/>
          <w:sz w:val="24"/>
          <w:szCs w:val="24"/>
        </w:rPr>
        <w:t xml:space="preserve">We </w:t>
      </w:r>
      <w:r>
        <w:rPr>
          <w:rFonts w:ascii="Times New Roman" w:hAnsi="Times New Roman" w:cs="Times New Roman"/>
          <w:sz w:val="24"/>
          <w:szCs w:val="24"/>
        </w:rPr>
        <w:t xml:space="preserve">create a binary eating-out indicator variable for </w:t>
      </w:r>
      <w:r w:rsidR="000B4F19">
        <w:rPr>
          <w:rFonts w:ascii="Times New Roman" w:hAnsi="Times New Roman" w:cs="Times New Roman"/>
          <w:sz w:val="24"/>
          <w:szCs w:val="24"/>
        </w:rPr>
        <w:t xml:space="preserve">all </w:t>
      </w:r>
      <w:r w:rsidR="000B4F19" w:rsidRPr="00443B90">
        <w:rPr>
          <w:rFonts w:ascii="Times New Roman" w:hAnsi="Times New Roman" w:cs="Times New Roman"/>
          <w:sz w:val="24"/>
          <w:szCs w:val="24"/>
        </w:rPr>
        <w:t>225,947 women</w:t>
      </w:r>
      <w:r w:rsidR="000B4F19">
        <w:rPr>
          <w:rFonts w:ascii="Times New Roman" w:hAnsi="Times New Roman" w:cs="Times New Roman"/>
          <w:sz w:val="24"/>
          <w:szCs w:val="24"/>
        </w:rPr>
        <w:t xml:space="preserve"> in the 15-49 years age group</w:t>
      </w:r>
      <w:r w:rsidR="000B4F19" w:rsidRPr="00443B90">
        <w:rPr>
          <w:rFonts w:ascii="Times New Roman" w:hAnsi="Times New Roman" w:cs="Times New Roman"/>
          <w:sz w:val="24"/>
          <w:szCs w:val="24"/>
        </w:rPr>
        <w:t xml:space="preserve"> </w:t>
      </w:r>
      <w:r w:rsidR="00FE6605">
        <w:rPr>
          <w:rFonts w:ascii="Times New Roman" w:hAnsi="Times New Roman" w:cs="Times New Roman"/>
          <w:sz w:val="24"/>
          <w:szCs w:val="24"/>
        </w:rPr>
        <w:t>from</w:t>
      </w:r>
      <w:r w:rsidR="000B4F19">
        <w:rPr>
          <w:rFonts w:ascii="Times New Roman" w:hAnsi="Times New Roman" w:cs="Times New Roman"/>
          <w:sz w:val="24"/>
          <w:szCs w:val="24"/>
        </w:rPr>
        <w:t xml:space="preserve"> the NSS-CES </w:t>
      </w:r>
      <w:r>
        <w:rPr>
          <w:rFonts w:ascii="Times New Roman" w:hAnsi="Times New Roman" w:cs="Times New Roman"/>
          <w:sz w:val="24"/>
          <w:szCs w:val="24"/>
        </w:rPr>
        <w:t>sample and study its relationship with intrahousehold status</w:t>
      </w:r>
      <w:r w:rsidR="004A646B">
        <w:rPr>
          <w:rFonts w:ascii="Times New Roman" w:hAnsi="Times New Roman" w:cs="Times New Roman"/>
          <w:sz w:val="24"/>
          <w:szCs w:val="24"/>
        </w:rPr>
        <w:t xml:space="preserve"> using linear probability models</w:t>
      </w:r>
      <w:r w:rsidR="007F6A07">
        <w:rPr>
          <w:rFonts w:ascii="Times New Roman" w:hAnsi="Times New Roman" w:cs="Times New Roman"/>
          <w:sz w:val="24"/>
          <w:szCs w:val="24"/>
        </w:rPr>
        <w:t xml:space="preserve">. </w:t>
      </w:r>
    </w:p>
    <w:p w14:paraId="142BCEAF" w14:textId="77777777" w:rsidR="001F36E0" w:rsidRPr="00E40471" w:rsidRDefault="007F6A07" w:rsidP="001F36E0">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Since NSS-CES doesn’t have information on first child’s sex, we use daughter-in-law’s rank in joint patrilocal households to measure intrahousehold status in these regressions.</w:t>
      </w:r>
      <w:r w:rsidR="009C3558">
        <w:rPr>
          <w:rFonts w:ascii="Times New Roman" w:hAnsi="Times New Roman" w:cs="Times New Roman"/>
          <w:sz w:val="24"/>
          <w:szCs w:val="24"/>
        </w:rPr>
        <w:t xml:space="preserve"> We additionally control for </w:t>
      </w:r>
      <w:r w:rsidR="00412009">
        <w:rPr>
          <w:rFonts w:ascii="Times New Roman" w:hAnsi="Times New Roman" w:cs="Times New Roman"/>
          <w:sz w:val="24"/>
          <w:szCs w:val="24"/>
        </w:rPr>
        <w:t xml:space="preserve">other </w:t>
      </w:r>
      <w:r w:rsidR="009C3558">
        <w:rPr>
          <w:rFonts w:ascii="Times New Roman" w:hAnsi="Times New Roman" w:cs="Times New Roman"/>
          <w:sz w:val="24"/>
          <w:szCs w:val="24"/>
        </w:rPr>
        <w:t xml:space="preserve">factors that may </w:t>
      </w:r>
      <w:r w:rsidR="00107321">
        <w:rPr>
          <w:rFonts w:ascii="Times New Roman" w:hAnsi="Times New Roman" w:cs="Times New Roman"/>
          <w:sz w:val="24"/>
          <w:szCs w:val="24"/>
        </w:rPr>
        <w:t>affect</w:t>
      </w:r>
      <w:r w:rsidR="009C3558">
        <w:rPr>
          <w:rFonts w:ascii="Times New Roman" w:hAnsi="Times New Roman" w:cs="Times New Roman"/>
          <w:sz w:val="24"/>
          <w:szCs w:val="24"/>
        </w:rPr>
        <w:t xml:space="preserve"> eating out, like the number of days spent away from home, total paid meals of other household members, and other free meals taken outside the home. </w:t>
      </w:r>
    </w:p>
    <w:p w14:paraId="6FA4D8C7" w14:textId="77777777" w:rsidR="009C3558" w:rsidRDefault="00C038B6" w:rsidP="001F36E0">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471C1F" w:rsidRPr="001F36E0">
        <w:rPr>
          <w:rFonts w:ascii="Times New Roman" w:hAnsi="Times New Roman" w:cs="Times New Roman"/>
          <w:b/>
          <w:sz w:val="24"/>
          <w:szCs w:val="24"/>
        </w:rPr>
        <w:t>esults</w:t>
      </w:r>
      <w:r w:rsidR="00420439">
        <w:rPr>
          <w:rFonts w:ascii="Times New Roman" w:hAnsi="Times New Roman" w:cs="Times New Roman"/>
          <w:b/>
          <w:sz w:val="24"/>
          <w:szCs w:val="24"/>
        </w:rPr>
        <w:t>: The effect of intrahousehold status on BMI</w:t>
      </w:r>
    </w:p>
    <w:p w14:paraId="221D35E4" w14:textId="77777777" w:rsidR="006D6958" w:rsidRDefault="00845140"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sidR="002D6AF7">
        <w:rPr>
          <w:rFonts w:ascii="Times New Roman" w:hAnsi="Times New Roman" w:cs="Times New Roman"/>
          <w:sz w:val="24"/>
          <w:szCs w:val="24"/>
        </w:rPr>
        <w:t>full sample of mothers, w</w:t>
      </w:r>
      <w:r w:rsidR="009C3558">
        <w:rPr>
          <w:rFonts w:ascii="Times New Roman" w:hAnsi="Times New Roman" w:cs="Times New Roman"/>
          <w:sz w:val="24"/>
          <w:szCs w:val="24"/>
        </w:rPr>
        <w:t xml:space="preserve">e find that improved intrahousehold status, as measured by the first-born child’s sex, leads to higher BMI. </w:t>
      </w:r>
      <w:r w:rsidR="006D6958">
        <w:rPr>
          <w:rFonts w:ascii="Times New Roman" w:hAnsi="Times New Roman" w:cs="Times New Roman"/>
          <w:sz w:val="24"/>
          <w:szCs w:val="24"/>
        </w:rPr>
        <w:t>We present our main result</w:t>
      </w:r>
      <w:r w:rsidR="00CF1E71">
        <w:rPr>
          <w:rFonts w:ascii="Times New Roman" w:hAnsi="Times New Roman" w:cs="Times New Roman"/>
          <w:sz w:val="24"/>
          <w:szCs w:val="24"/>
        </w:rPr>
        <w:t>s</w:t>
      </w:r>
      <w:r w:rsidR="006D6958">
        <w:rPr>
          <w:rFonts w:ascii="Times New Roman" w:hAnsi="Times New Roman" w:cs="Times New Roman"/>
          <w:sz w:val="24"/>
          <w:szCs w:val="24"/>
        </w:rPr>
        <w:t xml:space="preserve"> in Table 1. Each cell denotes coefficients of the effect of the variable ‘First child is male’ on BMI across BMI percentiles. </w:t>
      </w:r>
      <w:r w:rsidR="00BA1397">
        <w:rPr>
          <w:rFonts w:ascii="Times New Roman" w:hAnsi="Times New Roman" w:cs="Times New Roman"/>
          <w:sz w:val="24"/>
          <w:szCs w:val="24"/>
        </w:rPr>
        <w:t>It also s</w:t>
      </w:r>
      <w:r w:rsidR="006D6958" w:rsidRPr="002D6AF7">
        <w:rPr>
          <w:rFonts w:ascii="Times New Roman" w:hAnsi="Times New Roman" w:cs="Times New Roman"/>
          <w:sz w:val="24"/>
          <w:szCs w:val="24"/>
        </w:rPr>
        <w:t xml:space="preserve">hows the </w:t>
      </w:r>
      <w:r w:rsidR="006D6958">
        <w:rPr>
          <w:rFonts w:ascii="Times New Roman" w:hAnsi="Times New Roman" w:cs="Times New Roman"/>
          <w:sz w:val="24"/>
          <w:szCs w:val="24"/>
        </w:rPr>
        <w:t xml:space="preserve">average </w:t>
      </w:r>
      <w:r w:rsidR="006D6958" w:rsidRPr="002D6AF7">
        <w:rPr>
          <w:rFonts w:ascii="Times New Roman" w:hAnsi="Times New Roman" w:cs="Times New Roman"/>
          <w:sz w:val="24"/>
          <w:szCs w:val="24"/>
        </w:rPr>
        <w:t xml:space="preserve">OLS coefficient from </w:t>
      </w:r>
      <w:r w:rsidR="006D6958">
        <w:rPr>
          <w:rFonts w:ascii="Times New Roman" w:hAnsi="Times New Roman" w:cs="Times New Roman"/>
          <w:sz w:val="24"/>
          <w:szCs w:val="24"/>
        </w:rPr>
        <w:t>a</w:t>
      </w:r>
      <w:r w:rsidR="006D6958" w:rsidRPr="002D6AF7">
        <w:rPr>
          <w:rFonts w:ascii="Times New Roman" w:hAnsi="Times New Roman" w:cs="Times New Roman"/>
          <w:sz w:val="24"/>
          <w:szCs w:val="24"/>
        </w:rPr>
        <w:t xml:space="preserve"> corresponding linear regression</w:t>
      </w:r>
      <w:r w:rsidR="00BA1397">
        <w:rPr>
          <w:rFonts w:ascii="Times New Roman" w:hAnsi="Times New Roman" w:cs="Times New Roman"/>
          <w:sz w:val="24"/>
          <w:szCs w:val="24"/>
        </w:rPr>
        <w:t xml:space="preserve"> (column 0)</w:t>
      </w:r>
      <w:r w:rsidR="006D6958" w:rsidRPr="002D6AF7">
        <w:rPr>
          <w:rFonts w:ascii="Times New Roman" w:hAnsi="Times New Roman" w:cs="Times New Roman"/>
          <w:sz w:val="24"/>
          <w:szCs w:val="24"/>
        </w:rPr>
        <w:t xml:space="preserve">. </w:t>
      </w:r>
      <w:r w:rsidR="006D6958">
        <w:rPr>
          <w:rFonts w:ascii="Times New Roman" w:hAnsi="Times New Roman" w:cs="Times New Roman"/>
          <w:sz w:val="24"/>
          <w:szCs w:val="24"/>
        </w:rPr>
        <w:t xml:space="preserve">Standard errors are clustered at the primary sampling unit </w:t>
      </w:r>
      <w:r w:rsidR="00197891">
        <w:rPr>
          <w:rFonts w:ascii="Times New Roman" w:hAnsi="Times New Roman" w:cs="Times New Roman"/>
          <w:sz w:val="24"/>
          <w:szCs w:val="24"/>
        </w:rPr>
        <w:t xml:space="preserve">(village in rural areas and </w:t>
      </w:r>
      <w:r w:rsidR="004931B3">
        <w:rPr>
          <w:rFonts w:ascii="Times New Roman" w:hAnsi="Times New Roman" w:cs="Times New Roman"/>
          <w:sz w:val="24"/>
          <w:szCs w:val="24"/>
        </w:rPr>
        <w:t xml:space="preserve">municipality in urban areas) </w:t>
      </w:r>
      <w:r w:rsidR="006D6958">
        <w:rPr>
          <w:rFonts w:ascii="Times New Roman" w:hAnsi="Times New Roman" w:cs="Times New Roman"/>
          <w:sz w:val="24"/>
          <w:szCs w:val="24"/>
        </w:rPr>
        <w:t xml:space="preserve">and depicted in parentheses. </w:t>
      </w:r>
    </w:p>
    <w:p w14:paraId="55A93F5F" w14:textId="77777777" w:rsidR="00205172" w:rsidRPr="00E40471" w:rsidRDefault="006D6958" w:rsidP="00B9534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The </w:t>
      </w:r>
      <w:r w:rsidR="002E560F">
        <w:rPr>
          <w:rFonts w:ascii="Times New Roman" w:hAnsi="Times New Roman" w:cs="Times New Roman"/>
          <w:sz w:val="24"/>
          <w:szCs w:val="24"/>
        </w:rPr>
        <w:t>OLS coefficient from the full sample of mothers</w:t>
      </w:r>
      <w:r>
        <w:rPr>
          <w:rFonts w:ascii="Times New Roman" w:hAnsi="Times New Roman" w:cs="Times New Roman"/>
          <w:sz w:val="24"/>
          <w:szCs w:val="24"/>
        </w:rPr>
        <w:t xml:space="preserve"> is 0.08. We interpret th</w:t>
      </w:r>
      <w:r w:rsidR="00205172">
        <w:rPr>
          <w:rFonts w:ascii="Times New Roman" w:hAnsi="Times New Roman" w:cs="Times New Roman"/>
          <w:sz w:val="24"/>
          <w:szCs w:val="24"/>
        </w:rPr>
        <w:t>is</w:t>
      </w:r>
      <w:r>
        <w:rPr>
          <w:rFonts w:ascii="Times New Roman" w:hAnsi="Times New Roman" w:cs="Times New Roman"/>
          <w:sz w:val="24"/>
          <w:szCs w:val="24"/>
        </w:rPr>
        <w:t xml:space="preserve"> result as follows: </w:t>
      </w:r>
      <w:r w:rsidR="00205172">
        <w:rPr>
          <w:rFonts w:ascii="Times New Roman" w:hAnsi="Times New Roman" w:cs="Times New Roman"/>
          <w:sz w:val="24"/>
          <w:szCs w:val="24"/>
        </w:rPr>
        <w:t>w</w:t>
      </w:r>
      <w:r w:rsidR="009C3558">
        <w:rPr>
          <w:rFonts w:ascii="Times New Roman" w:hAnsi="Times New Roman" w:cs="Times New Roman"/>
          <w:sz w:val="24"/>
          <w:szCs w:val="24"/>
        </w:rPr>
        <w:t xml:space="preserve">omen whose first-born child is male have </w:t>
      </w:r>
      <w:r>
        <w:rPr>
          <w:rFonts w:ascii="Times New Roman" w:hAnsi="Times New Roman" w:cs="Times New Roman"/>
          <w:sz w:val="24"/>
          <w:szCs w:val="24"/>
        </w:rPr>
        <w:t>on average 0.08 kg/m</w:t>
      </w:r>
      <w:r w:rsidRPr="00694CCB">
        <w:rPr>
          <w:rFonts w:ascii="Times New Roman" w:hAnsi="Times New Roman" w:cs="Times New Roman"/>
          <w:sz w:val="24"/>
          <w:szCs w:val="24"/>
          <w:vertAlign w:val="superscript"/>
        </w:rPr>
        <w:t xml:space="preserve">2 </w:t>
      </w:r>
      <w:r w:rsidR="009C3558">
        <w:rPr>
          <w:rFonts w:ascii="Times New Roman" w:hAnsi="Times New Roman" w:cs="Times New Roman"/>
          <w:sz w:val="24"/>
          <w:szCs w:val="24"/>
        </w:rPr>
        <w:t>higher BMI</w:t>
      </w:r>
      <w:r w:rsidR="005B168C">
        <w:rPr>
          <w:rFonts w:ascii="Times New Roman" w:hAnsi="Times New Roman" w:cs="Times New Roman"/>
          <w:sz w:val="24"/>
          <w:szCs w:val="24"/>
        </w:rPr>
        <w:t xml:space="preserve"> (or 0.017 standard deviations higher BMI)</w:t>
      </w:r>
      <w:r w:rsidR="009C3558">
        <w:rPr>
          <w:rFonts w:ascii="Times New Roman" w:hAnsi="Times New Roman" w:cs="Times New Roman"/>
          <w:sz w:val="24"/>
          <w:szCs w:val="24"/>
        </w:rPr>
        <w:t xml:space="preserve"> than those whose first-born child is female.</w:t>
      </w:r>
    </w:p>
    <w:p w14:paraId="58F10DA8" w14:textId="30DF3EF7" w:rsidR="009C3558" w:rsidRDefault="006D6958" w:rsidP="00A061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the </w:t>
      </w:r>
      <w:r w:rsidR="00544391">
        <w:rPr>
          <w:rFonts w:ascii="Times New Roman" w:hAnsi="Times New Roman" w:cs="Times New Roman"/>
          <w:sz w:val="24"/>
          <w:szCs w:val="24"/>
        </w:rPr>
        <w:t xml:space="preserve">quantile </w:t>
      </w:r>
      <w:r>
        <w:rPr>
          <w:rFonts w:ascii="Times New Roman" w:hAnsi="Times New Roman" w:cs="Times New Roman"/>
          <w:sz w:val="24"/>
          <w:szCs w:val="24"/>
        </w:rPr>
        <w:t>regressions, we find that the coefficients are</w:t>
      </w:r>
      <w:r w:rsidRPr="002D6AF7">
        <w:rPr>
          <w:rFonts w:ascii="Times New Roman" w:hAnsi="Times New Roman" w:cs="Times New Roman"/>
          <w:sz w:val="24"/>
          <w:szCs w:val="24"/>
        </w:rPr>
        <w:t xml:space="preserve"> positive</w:t>
      </w:r>
      <w:r>
        <w:rPr>
          <w:rFonts w:ascii="Times New Roman" w:hAnsi="Times New Roman" w:cs="Times New Roman"/>
          <w:sz w:val="24"/>
          <w:szCs w:val="24"/>
        </w:rPr>
        <w:t xml:space="preserve"> and highly statistically significant </w:t>
      </w:r>
      <w:r w:rsidR="00544391">
        <w:rPr>
          <w:rFonts w:ascii="Times New Roman" w:hAnsi="Times New Roman" w:cs="Times New Roman"/>
          <w:sz w:val="24"/>
          <w:szCs w:val="24"/>
        </w:rPr>
        <w:t>through the entire distribution of BMI values</w:t>
      </w:r>
      <w:r>
        <w:rPr>
          <w:rFonts w:ascii="Times New Roman" w:hAnsi="Times New Roman" w:cs="Times New Roman"/>
          <w:sz w:val="24"/>
          <w:szCs w:val="24"/>
        </w:rPr>
        <w:t>. The effect size ranges from 0.05 at the 10</w:t>
      </w:r>
      <w:r w:rsidRPr="006D6958">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to 0.11 at the 70</w:t>
      </w:r>
      <w:r w:rsidRPr="006D6958">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w:t>
      </w:r>
      <w:r w:rsidR="00304FD2">
        <w:rPr>
          <w:rFonts w:ascii="Times New Roman" w:hAnsi="Times New Roman" w:cs="Times New Roman"/>
          <w:sz w:val="24"/>
          <w:szCs w:val="24"/>
        </w:rPr>
        <w:t xml:space="preserve"> It increases monotonically up to the 50</w:t>
      </w:r>
      <w:r w:rsidR="00304FD2" w:rsidRPr="00304FD2">
        <w:rPr>
          <w:rFonts w:ascii="Times New Roman" w:hAnsi="Times New Roman" w:cs="Times New Roman"/>
          <w:sz w:val="24"/>
          <w:szCs w:val="24"/>
          <w:vertAlign w:val="superscript"/>
        </w:rPr>
        <w:t>th</w:t>
      </w:r>
      <w:r w:rsidR="00304FD2">
        <w:rPr>
          <w:rFonts w:ascii="Times New Roman" w:hAnsi="Times New Roman" w:cs="Times New Roman"/>
          <w:sz w:val="24"/>
          <w:szCs w:val="24"/>
        </w:rPr>
        <w:t xml:space="preserve"> BMI percentile </w:t>
      </w:r>
      <w:r w:rsidR="00205172">
        <w:rPr>
          <w:rFonts w:ascii="Times New Roman" w:hAnsi="Times New Roman" w:cs="Times New Roman"/>
          <w:sz w:val="24"/>
          <w:szCs w:val="24"/>
        </w:rPr>
        <w:t xml:space="preserve">of </w:t>
      </w:r>
      <w:r w:rsidR="00304FD2">
        <w:rPr>
          <w:rFonts w:ascii="Times New Roman" w:hAnsi="Times New Roman" w:cs="Times New Roman"/>
          <w:sz w:val="24"/>
          <w:szCs w:val="24"/>
        </w:rPr>
        <w:t>21 kg/m</w:t>
      </w:r>
      <w:r w:rsidR="00304FD2" w:rsidRPr="00694CCB">
        <w:rPr>
          <w:rFonts w:ascii="Times New Roman" w:hAnsi="Times New Roman" w:cs="Times New Roman"/>
          <w:sz w:val="24"/>
          <w:szCs w:val="24"/>
          <w:vertAlign w:val="superscript"/>
        </w:rPr>
        <w:t>2</w:t>
      </w:r>
      <w:r w:rsidR="00304FD2">
        <w:rPr>
          <w:rFonts w:ascii="Times New Roman" w:hAnsi="Times New Roman" w:cs="Times New Roman"/>
          <w:sz w:val="24"/>
          <w:szCs w:val="24"/>
        </w:rPr>
        <w:t xml:space="preserve"> after which it stays stable till the 90</w:t>
      </w:r>
      <w:r w:rsidR="00304FD2" w:rsidRPr="00304FD2">
        <w:rPr>
          <w:rFonts w:ascii="Times New Roman" w:hAnsi="Times New Roman" w:cs="Times New Roman"/>
          <w:sz w:val="24"/>
          <w:szCs w:val="24"/>
          <w:vertAlign w:val="superscript"/>
        </w:rPr>
        <w:t>th</w:t>
      </w:r>
      <w:r w:rsidR="00304FD2">
        <w:rPr>
          <w:rFonts w:ascii="Times New Roman" w:hAnsi="Times New Roman" w:cs="Times New Roman"/>
          <w:sz w:val="24"/>
          <w:szCs w:val="24"/>
        </w:rPr>
        <w:t xml:space="preserve"> percentile. </w:t>
      </w:r>
      <w:r w:rsidR="00C75AB7">
        <w:rPr>
          <w:rFonts w:ascii="Times New Roman" w:hAnsi="Times New Roman" w:cs="Times New Roman"/>
          <w:sz w:val="24"/>
          <w:szCs w:val="24"/>
        </w:rPr>
        <w:t>At the 90</w:t>
      </w:r>
      <w:r w:rsidR="00C75AB7" w:rsidRPr="00C75AB7">
        <w:rPr>
          <w:rFonts w:ascii="Times New Roman" w:hAnsi="Times New Roman" w:cs="Times New Roman"/>
          <w:sz w:val="24"/>
          <w:szCs w:val="24"/>
          <w:vertAlign w:val="superscript"/>
        </w:rPr>
        <w:t>th</w:t>
      </w:r>
      <w:r w:rsidR="00C75AB7">
        <w:rPr>
          <w:rFonts w:ascii="Times New Roman" w:hAnsi="Times New Roman" w:cs="Times New Roman"/>
          <w:sz w:val="24"/>
          <w:szCs w:val="24"/>
        </w:rPr>
        <w:t xml:space="preserve"> percentile BMI of 27.23 kg/m</w:t>
      </w:r>
      <w:r w:rsidR="00C75AB7" w:rsidRPr="00694CCB">
        <w:rPr>
          <w:rFonts w:ascii="Times New Roman" w:hAnsi="Times New Roman" w:cs="Times New Roman"/>
          <w:sz w:val="24"/>
          <w:szCs w:val="24"/>
          <w:vertAlign w:val="superscript"/>
        </w:rPr>
        <w:t>2</w:t>
      </w:r>
      <w:r w:rsidR="00C75AB7">
        <w:rPr>
          <w:rFonts w:ascii="Times New Roman" w:hAnsi="Times New Roman" w:cs="Times New Roman"/>
          <w:sz w:val="24"/>
          <w:szCs w:val="24"/>
        </w:rPr>
        <w:t>, the effect size falls slightly</w:t>
      </w:r>
      <w:r w:rsidR="006B2384">
        <w:rPr>
          <w:rFonts w:ascii="Times New Roman" w:hAnsi="Times New Roman" w:cs="Times New Roman"/>
          <w:sz w:val="24"/>
          <w:szCs w:val="24"/>
        </w:rPr>
        <w:t xml:space="preserve"> from 0.10</w:t>
      </w:r>
      <w:r w:rsidR="00C75AB7">
        <w:rPr>
          <w:rFonts w:ascii="Times New Roman" w:hAnsi="Times New Roman" w:cs="Times New Roman"/>
          <w:sz w:val="24"/>
          <w:szCs w:val="24"/>
        </w:rPr>
        <w:t xml:space="preserve"> to 0.</w:t>
      </w:r>
      <w:r w:rsidR="006B2384">
        <w:rPr>
          <w:rFonts w:ascii="Times New Roman" w:hAnsi="Times New Roman" w:cs="Times New Roman"/>
          <w:sz w:val="24"/>
          <w:szCs w:val="24"/>
        </w:rPr>
        <w:t>08</w:t>
      </w:r>
      <w:r w:rsidR="00C75AB7">
        <w:rPr>
          <w:rFonts w:ascii="Times New Roman" w:hAnsi="Times New Roman" w:cs="Times New Roman"/>
          <w:sz w:val="24"/>
          <w:szCs w:val="24"/>
        </w:rPr>
        <w:t>,</w:t>
      </w:r>
      <w:r w:rsidR="006B2384">
        <w:rPr>
          <w:rFonts w:ascii="Times New Roman" w:hAnsi="Times New Roman" w:cs="Times New Roman"/>
          <w:sz w:val="24"/>
          <w:szCs w:val="24"/>
        </w:rPr>
        <w:t xml:space="preserve"> but</w:t>
      </w:r>
      <w:r w:rsidR="00C75AB7">
        <w:rPr>
          <w:rFonts w:ascii="Times New Roman" w:hAnsi="Times New Roman" w:cs="Times New Roman"/>
          <w:sz w:val="24"/>
          <w:szCs w:val="24"/>
        </w:rPr>
        <w:t xml:space="preserve"> it is still positive, which means that even</w:t>
      </w:r>
      <w:r w:rsidR="0033131E">
        <w:rPr>
          <w:rFonts w:ascii="Times New Roman" w:hAnsi="Times New Roman" w:cs="Times New Roman"/>
          <w:sz w:val="24"/>
          <w:szCs w:val="24"/>
        </w:rPr>
        <w:t xml:space="preserve"> for women who are o</w:t>
      </w:r>
      <w:r w:rsidR="00CA61F4">
        <w:rPr>
          <w:rFonts w:ascii="Times New Roman" w:hAnsi="Times New Roman" w:cs="Times New Roman"/>
          <w:sz w:val="24"/>
          <w:szCs w:val="24"/>
        </w:rPr>
        <w:t>verweight/obese</w:t>
      </w:r>
      <w:r w:rsidR="0033131E">
        <w:rPr>
          <w:rFonts w:ascii="Times New Roman" w:hAnsi="Times New Roman" w:cs="Times New Roman"/>
          <w:sz w:val="24"/>
          <w:szCs w:val="24"/>
        </w:rPr>
        <w:t>,</w:t>
      </w:r>
      <w:r w:rsidR="00C75AB7">
        <w:rPr>
          <w:rFonts w:ascii="Times New Roman" w:hAnsi="Times New Roman" w:cs="Times New Roman"/>
          <w:sz w:val="24"/>
          <w:szCs w:val="24"/>
        </w:rPr>
        <w:t xml:space="preserve"> an increase in intrahousehold status </w:t>
      </w:r>
      <w:r w:rsidR="00951C82">
        <w:rPr>
          <w:rFonts w:ascii="Times New Roman" w:hAnsi="Times New Roman" w:cs="Times New Roman"/>
          <w:sz w:val="24"/>
          <w:szCs w:val="24"/>
        </w:rPr>
        <w:t>leads to</w:t>
      </w:r>
      <w:r w:rsidR="004B064A">
        <w:rPr>
          <w:rFonts w:ascii="Times New Roman" w:hAnsi="Times New Roman" w:cs="Times New Roman"/>
          <w:sz w:val="24"/>
          <w:szCs w:val="24"/>
        </w:rPr>
        <w:t xml:space="preserve"> an</w:t>
      </w:r>
      <w:r w:rsidR="00951C82">
        <w:rPr>
          <w:rFonts w:ascii="Times New Roman" w:hAnsi="Times New Roman" w:cs="Times New Roman"/>
          <w:sz w:val="24"/>
          <w:szCs w:val="24"/>
        </w:rPr>
        <w:t xml:space="preserve"> increase in BMI</w:t>
      </w:r>
      <w:r w:rsidR="00C75AB7">
        <w:rPr>
          <w:rFonts w:ascii="Times New Roman" w:hAnsi="Times New Roman" w:cs="Times New Roman"/>
          <w:sz w:val="24"/>
          <w:szCs w:val="24"/>
        </w:rPr>
        <w:t>.</w:t>
      </w:r>
      <w:r w:rsidR="00CE0538">
        <w:rPr>
          <w:rFonts w:ascii="Times New Roman" w:hAnsi="Times New Roman" w:cs="Times New Roman"/>
          <w:sz w:val="24"/>
          <w:szCs w:val="24"/>
        </w:rPr>
        <w:t xml:space="preserve"> </w:t>
      </w:r>
    </w:p>
    <w:p w14:paraId="32A5C052" w14:textId="77777777" w:rsidR="00046B60" w:rsidRDefault="00A67CCB" w:rsidP="00A061B6">
      <w:pPr>
        <w:spacing w:line="360" w:lineRule="auto"/>
        <w:jc w:val="both"/>
        <w:rPr>
          <w:rFonts w:ascii="Times New Roman" w:hAnsi="Times New Roman" w:cs="Times New Roman"/>
          <w:sz w:val="24"/>
          <w:szCs w:val="24"/>
        </w:rPr>
      </w:pPr>
      <w:r>
        <w:rPr>
          <w:rFonts w:ascii="Times New Roman" w:hAnsi="Times New Roman" w:cs="Times New Roman"/>
          <w:sz w:val="24"/>
        </w:rPr>
        <w:t>O</w:t>
      </w:r>
      <w:r w:rsidR="00B9306F">
        <w:rPr>
          <w:rFonts w:ascii="Times New Roman" w:hAnsi="Times New Roman" w:cs="Times New Roman"/>
          <w:sz w:val="24"/>
        </w:rPr>
        <w:t>verall,</w:t>
      </w:r>
      <w:r w:rsidR="00E9202A">
        <w:rPr>
          <w:rFonts w:ascii="Times New Roman" w:hAnsi="Times New Roman" w:cs="Times New Roman"/>
          <w:sz w:val="24"/>
        </w:rPr>
        <w:t xml:space="preserve"> Table 1 shows that</w:t>
      </w:r>
      <w:r>
        <w:rPr>
          <w:rFonts w:ascii="Times New Roman" w:hAnsi="Times New Roman" w:cs="Times New Roman"/>
          <w:sz w:val="24"/>
        </w:rPr>
        <w:t xml:space="preserve"> BMI increases by </w:t>
      </w:r>
      <w:r w:rsidR="00046B60">
        <w:rPr>
          <w:rFonts w:ascii="Times New Roman" w:hAnsi="Times New Roman" w:cs="Times New Roman"/>
          <w:sz w:val="24"/>
        </w:rPr>
        <w:t>0.01 standard deviations</w:t>
      </w:r>
      <w:r w:rsidR="00046B60" w:rsidRPr="009143F7">
        <w:rPr>
          <w:rFonts w:ascii="Times New Roman" w:hAnsi="Times New Roman" w:cs="Times New Roman"/>
          <w:sz w:val="24"/>
        </w:rPr>
        <w:t xml:space="preserve"> </w:t>
      </w:r>
      <w:r w:rsidR="00046B60">
        <w:rPr>
          <w:rFonts w:ascii="Times New Roman" w:hAnsi="Times New Roman" w:cs="Times New Roman"/>
          <w:sz w:val="24"/>
        </w:rPr>
        <w:t>at the bottom two percentiles</w:t>
      </w:r>
      <w:r w:rsidR="00046B60" w:rsidRPr="009143F7">
        <w:rPr>
          <w:rFonts w:ascii="Times New Roman" w:hAnsi="Times New Roman" w:cs="Times New Roman"/>
          <w:sz w:val="24"/>
        </w:rPr>
        <w:t xml:space="preserve"> (</w:t>
      </w:r>
      <w:r w:rsidR="00046B60">
        <w:rPr>
          <w:rFonts w:ascii="Times New Roman" w:hAnsi="Times New Roman" w:cs="Times New Roman"/>
          <w:sz w:val="24"/>
        </w:rPr>
        <w:t xml:space="preserve">where </w:t>
      </w:r>
      <w:r w:rsidR="00046B60" w:rsidRPr="009143F7">
        <w:rPr>
          <w:rFonts w:ascii="Times New Roman" w:hAnsi="Times New Roman" w:cs="Times New Roman"/>
          <w:sz w:val="24"/>
        </w:rPr>
        <w:t>BMI</w:t>
      </w:r>
      <w:r w:rsidR="00046B60">
        <w:rPr>
          <w:rFonts w:ascii="Times New Roman" w:hAnsi="Times New Roman" w:cs="Times New Roman"/>
          <w:sz w:val="24"/>
        </w:rPr>
        <w:t xml:space="preserve"> </w:t>
      </w:r>
      <w:r w:rsidR="00046B60" w:rsidRPr="0043007D">
        <w:rPr>
          <w:rFonts w:ascii="Times New Roman" w:hAnsi="Times New Roman" w:cs="Times New Roman"/>
          <w:sz w:val="24"/>
        </w:rPr>
        <w:t>≤</w:t>
      </w:r>
      <w:r w:rsidR="00046B60">
        <w:rPr>
          <w:rFonts w:ascii="Times New Roman" w:hAnsi="Times New Roman" w:cs="Times New Roman"/>
          <w:sz w:val="24"/>
        </w:rPr>
        <w:t xml:space="preserve"> </w:t>
      </w:r>
      <w:r w:rsidR="00046B60" w:rsidRPr="009143F7">
        <w:rPr>
          <w:rFonts w:ascii="Times New Roman" w:hAnsi="Times New Roman" w:cs="Times New Roman"/>
          <w:sz w:val="24"/>
        </w:rPr>
        <w:t>18</w:t>
      </w:r>
      <w:r w:rsidR="00046B60">
        <w:rPr>
          <w:rFonts w:ascii="Times New Roman" w:hAnsi="Times New Roman" w:cs="Times New Roman"/>
          <w:sz w:val="24"/>
        </w:rPr>
        <w:t xml:space="preserve"> </w:t>
      </w:r>
      <w:r w:rsidR="00046B60">
        <w:rPr>
          <w:rFonts w:ascii="Times New Roman" w:hAnsi="Times New Roman" w:cs="Times New Roman"/>
          <w:sz w:val="24"/>
          <w:szCs w:val="24"/>
        </w:rPr>
        <w:t>kg/m</w:t>
      </w:r>
      <w:r w:rsidR="00046B60">
        <w:rPr>
          <w:rFonts w:ascii="Times New Roman" w:hAnsi="Times New Roman" w:cs="Times New Roman"/>
          <w:sz w:val="24"/>
          <w:szCs w:val="24"/>
          <w:vertAlign w:val="superscript"/>
        </w:rPr>
        <w:t>2</w:t>
      </w:r>
      <w:r w:rsidR="00046B60" w:rsidRPr="009143F7">
        <w:rPr>
          <w:rFonts w:ascii="Times New Roman" w:hAnsi="Times New Roman" w:cs="Times New Roman"/>
          <w:sz w:val="24"/>
        </w:rPr>
        <w:t xml:space="preserve">), </w:t>
      </w:r>
      <w:r w:rsidR="00046B60">
        <w:rPr>
          <w:rFonts w:ascii="Times New Roman" w:hAnsi="Times New Roman" w:cs="Times New Roman"/>
          <w:sz w:val="24"/>
        </w:rPr>
        <w:t>by 0.05</w:t>
      </w:r>
      <w:r w:rsidR="00046B60" w:rsidRPr="006B5AA9">
        <w:rPr>
          <w:rFonts w:ascii="Times New Roman" w:hAnsi="Times New Roman" w:cs="Times New Roman"/>
          <w:sz w:val="24"/>
        </w:rPr>
        <w:t xml:space="preserve"> </w:t>
      </w:r>
      <w:r w:rsidR="00046B60">
        <w:rPr>
          <w:rFonts w:ascii="Times New Roman" w:hAnsi="Times New Roman" w:cs="Times New Roman"/>
          <w:sz w:val="24"/>
        </w:rPr>
        <w:t>standard deviations</w:t>
      </w:r>
      <w:r w:rsidR="00046B60" w:rsidRPr="009143F7">
        <w:rPr>
          <w:rFonts w:ascii="Times New Roman" w:hAnsi="Times New Roman" w:cs="Times New Roman"/>
          <w:sz w:val="24"/>
        </w:rPr>
        <w:t xml:space="preserve"> </w:t>
      </w:r>
      <w:r w:rsidR="00046B60">
        <w:rPr>
          <w:rFonts w:ascii="Times New Roman" w:hAnsi="Times New Roman" w:cs="Times New Roman"/>
          <w:sz w:val="24"/>
        </w:rPr>
        <w:t>between the 30</w:t>
      </w:r>
      <w:r w:rsidR="00046B60" w:rsidRPr="00C65257">
        <w:rPr>
          <w:rFonts w:ascii="Times New Roman" w:hAnsi="Times New Roman" w:cs="Times New Roman"/>
          <w:sz w:val="24"/>
          <w:vertAlign w:val="superscript"/>
        </w:rPr>
        <w:t>th</w:t>
      </w:r>
      <w:r w:rsidR="00046B60">
        <w:rPr>
          <w:rFonts w:ascii="Times New Roman" w:hAnsi="Times New Roman" w:cs="Times New Roman"/>
          <w:sz w:val="24"/>
        </w:rPr>
        <w:t xml:space="preserve"> and 70</w:t>
      </w:r>
      <w:r w:rsidR="00046B60" w:rsidRPr="00C65257">
        <w:rPr>
          <w:rFonts w:ascii="Times New Roman" w:hAnsi="Times New Roman" w:cs="Times New Roman"/>
          <w:sz w:val="24"/>
          <w:vertAlign w:val="superscript"/>
        </w:rPr>
        <w:t>th</w:t>
      </w:r>
      <w:r w:rsidR="00046B60">
        <w:rPr>
          <w:rFonts w:ascii="Times New Roman" w:hAnsi="Times New Roman" w:cs="Times New Roman"/>
          <w:sz w:val="24"/>
        </w:rPr>
        <w:t xml:space="preserve"> percentiles</w:t>
      </w:r>
      <w:r w:rsidR="00046B60" w:rsidRPr="009143F7">
        <w:rPr>
          <w:rFonts w:ascii="Times New Roman" w:hAnsi="Times New Roman" w:cs="Times New Roman"/>
          <w:sz w:val="24"/>
        </w:rPr>
        <w:t xml:space="preserve"> (</w:t>
      </w:r>
      <w:r w:rsidR="00046B60">
        <w:rPr>
          <w:rFonts w:ascii="Times New Roman" w:hAnsi="Times New Roman" w:cs="Times New Roman"/>
          <w:sz w:val="24"/>
        </w:rPr>
        <w:t xml:space="preserve">where </w:t>
      </w:r>
      <w:r w:rsidR="00046B60" w:rsidRPr="009143F7">
        <w:rPr>
          <w:rFonts w:ascii="Times New Roman" w:hAnsi="Times New Roman" w:cs="Times New Roman"/>
          <w:sz w:val="24"/>
        </w:rPr>
        <w:t>BMI 1</w:t>
      </w:r>
      <w:r w:rsidR="00046B60">
        <w:rPr>
          <w:rFonts w:ascii="Times New Roman" w:hAnsi="Times New Roman" w:cs="Times New Roman"/>
          <w:sz w:val="24"/>
        </w:rPr>
        <w:t xml:space="preserve">9 to 23 </w:t>
      </w:r>
      <w:r w:rsidR="00046B60">
        <w:rPr>
          <w:rFonts w:ascii="Times New Roman" w:hAnsi="Times New Roman" w:cs="Times New Roman"/>
          <w:sz w:val="24"/>
          <w:szCs w:val="24"/>
        </w:rPr>
        <w:t>kg/m</w:t>
      </w:r>
      <w:r w:rsidR="00046B60">
        <w:rPr>
          <w:rFonts w:ascii="Times New Roman" w:hAnsi="Times New Roman" w:cs="Times New Roman"/>
          <w:sz w:val="24"/>
          <w:szCs w:val="24"/>
          <w:vertAlign w:val="superscript"/>
        </w:rPr>
        <w:t>2</w:t>
      </w:r>
      <w:r w:rsidR="00046B60" w:rsidRPr="009143F7">
        <w:rPr>
          <w:rFonts w:ascii="Times New Roman" w:hAnsi="Times New Roman" w:cs="Times New Roman"/>
          <w:sz w:val="24"/>
        </w:rPr>
        <w:t xml:space="preserve">), and </w:t>
      </w:r>
      <w:r w:rsidR="00046B60">
        <w:rPr>
          <w:rFonts w:ascii="Times New Roman" w:hAnsi="Times New Roman" w:cs="Times New Roman"/>
          <w:sz w:val="24"/>
        </w:rPr>
        <w:t>by 0.02 standard deviations at the top two percentiles</w:t>
      </w:r>
      <w:r w:rsidR="00046B60" w:rsidRPr="009143F7">
        <w:rPr>
          <w:rFonts w:ascii="Times New Roman" w:hAnsi="Times New Roman" w:cs="Times New Roman"/>
          <w:sz w:val="24"/>
        </w:rPr>
        <w:t xml:space="preserve"> (</w:t>
      </w:r>
      <w:r w:rsidR="00046B60">
        <w:rPr>
          <w:rFonts w:ascii="Times New Roman" w:hAnsi="Times New Roman" w:cs="Times New Roman"/>
          <w:sz w:val="24"/>
        </w:rPr>
        <w:t xml:space="preserve">where </w:t>
      </w:r>
      <w:r w:rsidR="00046B60" w:rsidRPr="009143F7">
        <w:rPr>
          <w:rFonts w:ascii="Times New Roman" w:hAnsi="Times New Roman" w:cs="Times New Roman"/>
          <w:sz w:val="24"/>
        </w:rPr>
        <w:t>BMI</w:t>
      </w:r>
      <w:r w:rsidR="00046B60">
        <w:rPr>
          <w:rFonts w:ascii="Times New Roman" w:hAnsi="Times New Roman" w:cs="Times New Roman"/>
          <w:sz w:val="24"/>
        </w:rPr>
        <w:t xml:space="preserve"> </w:t>
      </w:r>
      <w:r w:rsidR="00046B60" w:rsidRPr="0043007D">
        <w:rPr>
          <w:rFonts w:ascii="Times New Roman" w:hAnsi="Times New Roman" w:cs="Times New Roman"/>
          <w:sz w:val="24"/>
        </w:rPr>
        <w:t>≥</w:t>
      </w:r>
      <w:r w:rsidR="00046B60">
        <w:rPr>
          <w:rFonts w:ascii="Times New Roman" w:hAnsi="Times New Roman" w:cs="Times New Roman"/>
          <w:sz w:val="24"/>
        </w:rPr>
        <w:t xml:space="preserve"> </w:t>
      </w:r>
      <w:r w:rsidR="00046B60" w:rsidRPr="009143F7">
        <w:rPr>
          <w:rFonts w:ascii="Times New Roman" w:hAnsi="Times New Roman" w:cs="Times New Roman"/>
          <w:sz w:val="24"/>
        </w:rPr>
        <w:t>2</w:t>
      </w:r>
      <w:r w:rsidR="00046B60">
        <w:rPr>
          <w:rFonts w:ascii="Times New Roman" w:hAnsi="Times New Roman" w:cs="Times New Roman"/>
          <w:sz w:val="24"/>
        </w:rPr>
        <w:t xml:space="preserve">4 </w:t>
      </w:r>
      <w:r w:rsidR="00046B60">
        <w:rPr>
          <w:rFonts w:ascii="Times New Roman" w:hAnsi="Times New Roman" w:cs="Times New Roman"/>
          <w:sz w:val="24"/>
          <w:szCs w:val="24"/>
        </w:rPr>
        <w:t>kg/m</w:t>
      </w:r>
      <w:r w:rsidR="00046B60">
        <w:rPr>
          <w:rFonts w:ascii="Times New Roman" w:hAnsi="Times New Roman" w:cs="Times New Roman"/>
          <w:sz w:val="24"/>
          <w:szCs w:val="24"/>
          <w:vertAlign w:val="superscript"/>
        </w:rPr>
        <w:t>2</w:t>
      </w:r>
      <w:r w:rsidR="00046B60" w:rsidRPr="009143F7">
        <w:rPr>
          <w:rFonts w:ascii="Times New Roman" w:hAnsi="Times New Roman" w:cs="Times New Roman"/>
          <w:sz w:val="24"/>
        </w:rPr>
        <w:t>).</w:t>
      </w:r>
    </w:p>
    <w:p w14:paraId="1BCFDEE9" w14:textId="77777777" w:rsidR="00A061B6" w:rsidRDefault="00320999"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Next, w</w:t>
      </w:r>
      <w:r w:rsidR="009C3558">
        <w:rPr>
          <w:rFonts w:ascii="Times New Roman" w:hAnsi="Times New Roman" w:cs="Times New Roman"/>
          <w:sz w:val="24"/>
          <w:szCs w:val="24"/>
        </w:rPr>
        <w:t xml:space="preserve">e restrict </w:t>
      </w:r>
      <w:r>
        <w:rPr>
          <w:rFonts w:ascii="Times New Roman" w:hAnsi="Times New Roman" w:cs="Times New Roman"/>
          <w:sz w:val="24"/>
          <w:szCs w:val="24"/>
        </w:rPr>
        <w:t>our sample</w:t>
      </w:r>
      <w:r w:rsidR="009C3558">
        <w:rPr>
          <w:rFonts w:ascii="Times New Roman" w:hAnsi="Times New Roman" w:cs="Times New Roman"/>
          <w:sz w:val="24"/>
          <w:szCs w:val="24"/>
        </w:rPr>
        <w:t xml:space="preserve"> to those</w:t>
      </w:r>
      <w:r>
        <w:rPr>
          <w:rFonts w:ascii="Times New Roman" w:hAnsi="Times New Roman" w:cs="Times New Roman"/>
          <w:sz w:val="24"/>
          <w:szCs w:val="24"/>
        </w:rPr>
        <w:t xml:space="preserve"> </w:t>
      </w:r>
      <w:r w:rsidR="00FE5CD7">
        <w:rPr>
          <w:rFonts w:ascii="Times New Roman" w:hAnsi="Times New Roman" w:cs="Times New Roman"/>
          <w:sz w:val="24"/>
          <w:szCs w:val="24"/>
        </w:rPr>
        <w:t>mothers</w:t>
      </w:r>
      <w:r w:rsidR="009C3558">
        <w:rPr>
          <w:rFonts w:ascii="Times New Roman" w:hAnsi="Times New Roman" w:cs="Times New Roman"/>
          <w:sz w:val="24"/>
          <w:szCs w:val="24"/>
        </w:rPr>
        <w:t xml:space="preserve"> who have reportedly never terminated a pregnancy</w:t>
      </w:r>
      <w:r w:rsidR="00FE5CD7">
        <w:rPr>
          <w:rFonts w:ascii="Times New Roman" w:hAnsi="Times New Roman" w:cs="Times New Roman"/>
          <w:sz w:val="24"/>
          <w:szCs w:val="24"/>
        </w:rPr>
        <w:t>,</w:t>
      </w:r>
      <w:r w:rsidR="009C3558">
        <w:rPr>
          <w:rFonts w:ascii="Times New Roman" w:hAnsi="Times New Roman" w:cs="Times New Roman"/>
          <w:sz w:val="24"/>
          <w:szCs w:val="24"/>
        </w:rPr>
        <w:t xml:space="preserve"> </w:t>
      </w:r>
      <w:r w:rsidR="00FE5CD7">
        <w:rPr>
          <w:rFonts w:ascii="Times New Roman" w:hAnsi="Times New Roman" w:cs="Times New Roman"/>
          <w:sz w:val="24"/>
          <w:szCs w:val="24"/>
        </w:rPr>
        <w:t xml:space="preserve">in order </w:t>
      </w:r>
      <w:r w:rsidR="009C3558">
        <w:rPr>
          <w:rFonts w:ascii="Times New Roman" w:hAnsi="Times New Roman" w:cs="Times New Roman"/>
          <w:sz w:val="24"/>
          <w:szCs w:val="24"/>
        </w:rPr>
        <w:t xml:space="preserve">to plausibly rule out the chances of sex-selective abortion. </w:t>
      </w:r>
      <w:r w:rsidR="002C602A">
        <w:rPr>
          <w:rFonts w:ascii="Times New Roman" w:hAnsi="Times New Roman" w:cs="Times New Roman"/>
          <w:sz w:val="24"/>
          <w:szCs w:val="24"/>
        </w:rPr>
        <w:t>Results reported in Table 1 show that t</w:t>
      </w:r>
      <w:r w:rsidR="009C3558">
        <w:rPr>
          <w:rFonts w:ascii="Times New Roman" w:hAnsi="Times New Roman" w:cs="Times New Roman"/>
          <w:sz w:val="24"/>
          <w:szCs w:val="24"/>
        </w:rPr>
        <w:t xml:space="preserve">he impact of status </w:t>
      </w:r>
      <w:r w:rsidR="00A52F45">
        <w:rPr>
          <w:rFonts w:ascii="Times New Roman" w:hAnsi="Times New Roman" w:cs="Times New Roman"/>
          <w:sz w:val="24"/>
          <w:szCs w:val="24"/>
        </w:rPr>
        <w:t xml:space="preserve">on this sub-sample of women </w:t>
      </w:r>
      <w:r w:rsidR="009C3558">
        <w:rPr>
          <w:rFonts w:ascii="Times New Roman" w:hAnsi="Times New Roman" w:cs="Times New Roman"/>
          <w:sz w:val="24"/>
          <w:szCs w:val="24"/>
        </w:rPr>
        <w:t>is</w:t>
      </w:r>
      <w:r w:rsidR="00A52F45">
        <w:rPr>
          <w:rFonts w:ascii="Times New Roman" w:hAnsi="Times New Roman" w:cs="Times New Roman"/>
          <w:sz w:val="24"/>
          <w:szCs w:val="24"/>
        </w:rPr>
        <w:t xml:space="preserve"> also</w:t>
      </w:r>
      <w:r w:rsidR="009C3558">
        <w:rPr>
          <w:rFonts w:ascii="Times New Roman" w:hAnsi="Times New Roman" w:cs="Times New Roman"/>
          <w:sz w:val="24"/>
          <w:szCs w:val="24"/>
        </w:rPr>
        <w:t xml:space="preserve"> positive and </w:t>
      </w:r>
      <w:r w:rsidR="005B49D5">
        <w:rPr>
          <w:rFonts w:ascii="Times New Roman" w:hAnsi="Times New Roman" w:cs="Times New Roman"/>
          <w:sz w:val="24"/>
          <w:szCs w:val="24"/>
        </w:rPr>
        <w:t>increasing</w:t>
      </w:r>
      <w:r w:rsidR="009C3558">
        <w:rPr>
          <w:rFonts w:ascii="Times New Roman" w:hAnsi="Times New Roman" w:cs="Times New Roman"/>
          <w:sz w:val="24"/>
          <w:szCs w:val="24"/>
        </w:rPr>
        <w:t xml:space="preserve"> </w:t>
      </w:r>
      <w:r w:rsidR="005B49D5">
        <w:rPr>
          <w:rFonts w:ascii="Times New Roman" w:hAnsi="Times New Roman" w:cs="Times New Roman"/>
          <w:sz w:val="24"/>
          <w:szCs w:val="24"/>
        </w:rPr>
        <w:t>with increasing BMI percentiles.</w:t>
      </w:r>
      <w:r w:rsidR="009C3558">
        <w:rPr>
          <w:rFonts w:ascii="Times New Roman" w:hAnsi="Times New Roman" w:cs="Times New Roman"/>
          <w:sz w:val="24"/>
          <w:szCs w:val="24"/>
        </w:rPr>
        <w:t xml:space="preserve"> </w:t>
      </w:r>
      <w:r w:rsidR="00C20229">
        <w:rPr>
          <w:rFonts w:ascii="Times New Roman" w:hAnsi="Times New Roman" w:cs="Times New Roman"/>
          <w:sz w:val="24"/>
          <w:szCs w:val="24"/>
        </w:rPr>
        <w:t xml:space="preserve">It is unlikely, therefore, that our results suffer from </w:t>
      </w:r>
      <w:r w:rsidR="00BD05CD">
        <w:rPr>
          <w:rFonts w:ascii="Times New Roman" w:hAnsi="Times New Roman" w:cs="Times New Roman"/>
          <w:sz w:val="24"/>
          <w:szCs w:val="24"/>
        </w:rPr>
        <w:t>endogeneity</w:t>
      </w:r>
      <w:r w:rsidR="00C20229">
        <w:rPr>
          <w:rFonts w:ascii="Times New Roman" w:hAnsi="Times New Roman" w:cs="Times New Roman"/>
          <w:sz w:val="24"/>
          <w:szCs w:val="24"/>
        </w:rPr>
        <w:t xml:space="preserve"> due to sex-selective abortion.</w:t>
      </w:r>
    </w:p>
    <w:p w14:paraId="10A75150" w14:textId="61F9623E" w:rsidR="00CE0538" w:rsidRPr="00E40471" w:rsidRDefault="00DF762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When we look at rural and urban subsamples of mothers separately,</w:t>
      </w:r>
      <w:r w:rsidR="009C3558">
        <w:rPr>
          <w:rFonts w:ascii="Times New Roman" w:hAnsi="Times New Roman" w:cs="Times New Roman"/>
          <w:sz w:val="24"/>
          <w:szCs w:val="24"/>
        </w:rPr>
        <w:t xml:space="preserve"> we find that this pattern </w:t>
      </w:r>
      <w:r w:rsidR="0039252A">
        <w:rPr>
          <w:rFonts w:ascii="Times New Roman" w:hAnsi="Times New Roman" w:cs="Times New Roman"/>
          <w:sz w:val="24"/>
          <w:szCs w:val="24"/>
        </w:rPr>
        <w:t xml:space="preserve">holds </w:t>
      </w:r>
      <w:r w:rsidR="00FC07AD">
        <w:rPr>
          <w:rFonts w:ascii="Times New Roman" w:hAnsi="Times New Roman" w:cs="Times New Roman"/>
          <w:sz w:val="24"/>
          <w:szCs w:val="24"/>
        </w:rPr>
        <w:t>in</w:t>
      </w:r>
      <w:r w:rsidR="0039252A">
        <w:rPr>
          <w:rFonts w:ascii="Times New Roman" w:hAnsi="Times New Roman" w:cs="Times New Roman"/>
          <w:sz w:val="24"/>
          <w:szCs w:val="24"/>
        </w:rPr>
        <w:t xml:space="preserve"> both areas</w:t>
      </w:r>
      <w:r w:rsidR="00CF1E71">
        <w:rPr>
          <w:rFonts w:ascii="Times New Roman" w:hAnsi="Times New Roman" w:cs="Times New Roman"/>
          <w:sz w:val="24"/>
          <w:szCs w:val="24"/>
        </w:rPr>
        <w:t xml:space="preserve"> (Table 1)</w:t>
      </w:r>
      <w:r w:rsidR="0039252A">
        <w:rPr>
          <w:rFonts w:ascii="Times New Roman" w:hAnsi="Times New Roman" w:cs="Times New Roman"/>
          <w:sz w:val="24"/>
          <w:szCs w:val="24"/>
        </w:rPr>
        <w:t>.</w:t>
      </w:r>
      <w:r w:rsidR="009C3558">
        <w:rPr>
          <w:rFonts w:ascii="Times New Roman" w:hAnsi="Times New Roman" w:cs="Times New Roman"/>
          <w:sz w:val="24"/>
          <w:szCs w:val="24"/>
        </w:rPr>
        <w:t xml:space="preserve"> </w:t>
      </w:r>
      <w:r w:rsidR="0039252A">
        <w:rPr>
          <w:rFonts w:ascii="Times New Roman" w:hAnsi="Times New Roman" w:cs="Times New Roman"/>
          <w:sz w:val="24"/>
          <w:szCs w:val="24"/>
        </w:rPr>
        <w:t>I</w:t>
      </w:r>
      <w:r w:rsidR="009C3558">
        <w:rPr>
          <w:rFonts w:ascii="Times New Roman" w:hAnsi="Times New Roman" w:cs="Times New Roman"/>
          <w:sz w:val="24"/>
          <w:szCs w:val="24"/>
        </w:rPr>
        <w:t xml:space="preserve">n urban areas, </w:t>
      </w:r>
      <w:r w:rsidR="0039252A">
        <w:rPr>
          <w:rFonts w:ascii="Times New Roman" w:hAnsi="Times New Roman" w:cs="Times New Roman"/>
          <w:sz w:val="24"/>
          <w:szCs w:val="24"/>
        </w:rPr>
        <w:t>the magnitude of the effect is much larger at lower BMI percentiles</w:t>
      </w:r>
      <w:r>
        <w:rPr>
          <w:rFonts w:ascii="Times New Roman" w:hAnsi="Times New Roman" w:cs="Times New Roman"/>
          <w:sz w:val="24"/>
          <w:szCs w:val="24"/>
        </w:rPr>
        <w:t>--</w:t>
      </w:r>
      <w:r w:rsidR="0039252A">
        <w:rPr>
          <w:rFonts w:ascii="Times New Roman" w:hAnsi="Times New Roman" w:cs="Times New Roman"/>
          <w:sz w:val="24"/>
          <w:szCs w:val="24"/>
        </w:rPr>
        <w:t>it</w:t>
      </w:r>
      <w:r>
        <w:rPr>
          <w:rFonts w:ascii="Times New Roman" w:hAnsi="Times New Roman" w:cs="Times New Roman"/>
          <w:sz w:val="24"/>
          <w:szCs w:val="24"/>
        </w:rPr>
        <w:t xml:space="preserve"> </w:t>
      </w:r>
      <w:r w:rsidR="0039252A">
        <w:rPr>
          <w:rFonts w:ascii="Times New Roman" w:hAnsi="Times New Roman" w:cs="Times New Roman"/>
          <w:sz w:val="24"/>
          <w:szCs w:val="24"/>
        </w:rPr>
        <w:t xml:space="preserve">is double the magnitude of the coefficients in rural areas. </w:t>
      </w:r>
      <w:r>
        <w:rPr>
          <w:rFonts w:ascii="Times New Roman" w:hAnsi="Times New Roman" w:cs="Times New Roman"/>
          <w:sz w:val="24"/>
          <w:szCs w:val="24"/>
        </w:rPr>
        <w:t>I</w:t>
      </w:r>
      <w:r w:rsidR="000103F8" w:rsidRPr="00E40471">
        <w:rPr>
          <w:rFonts w:ascii="Times New Roman" w:hAnsi="Times New Roman" w:cs="Times New Roman"/>
          <w:sz w:val="24"/>
          <w:szCs w:val="24"/>
        </w:rPr>
        <w:t xml:space="preserve">n urban areas, the coefficient is </w:t>
      </w:r>
      <w:r w:rsidR="009C3558" w:rsidRPr="00E40471">
        <w:rPr>
          <w:rFonts w:ascii="Times New Roman" w:hAnsi="Times New Roman" w:cs="Times New Roman"/>
          <w:sz w:val="24"/>
          <w:szCs w:val="24"/>
        </w:rPr>
        <w:t xml:space="preserve">statistically </w:t>
      </w:r>
      <w:r>
        <w:rPr>
          <w:rFonts w:ascii="Times New Roman" w:hAnsi="Times New Roman" w:cs="Times New Roman"/>
          <w:sz w:val="24"/>
          <w:szCs w:val="24"/>
        </w:rPr>
        <w:t xml:space="preserve">not </w:t>
      </w:r>
      <w:r w:rsidRPr="00E40471">
        <w:rPr>
          <w:rFonts w:ascii="Times New Roman" w:hAnsi="Times New Roman" w:cs="Times New Roman"/>
          <w:sz w:val="24"/>
          <w:szCs w:val="24"/>
        </w:rPr>
        <w:t xml:space="preserve">significant </w:t>
      </w:r>
      <w:r w:rsidR="009C3558" w:rsidRPr="00E40471">
        <w:rPr>
          <w:rFonts w:ascii="Times New Roman" w:hAnsi="Times New Roman" w:cs="Times New Roman"/>
          <w:sz w:val="24"/>
          <w:szCs w:val="24"/>
        </w:rPr>
        <w:t>at the</w:t>
      </w:r>
      <w:r w:rsidR="00A061B6" w:rsidRPr="00E40471">
        <w:rPr>
          <w:rFonts w:ascii="Times New Roman" w:hAnsi="Times New Roman" w:cs="Times New Roman"/>
          <w:sz w:val="24"/>
          <w:szCs w:val="24"/>
        </w:rPr>
        <w:t xml:space="preserve"> 90</w:t>
      </w:r>
      <w:r w:rsidR="00A061B6" w:rsidRPr="00E40471">
        <w:rPr>
          <w:rFonts w:ascii="Times New Roman" w:hAnsi="Times New Roman" w:cs="Times New Roman"/>
          <w:sz w:val="24"/>
          <w:szCs w:val="24"/>
          <w:vertAlign w:val="superscript"/>
        </w:rPr>
        <w:t>th</w:t>
      </w:r>
      <w:r w:rsidR="00A061B6" w:rsidRPr="00E40471">
        <w:rPr>
          <w:rFonts w:ascii="Times New Roman" w:hAnsi="Times New Roman" w:cs="Times New Roman"/>
          <w:sz w:val="24"/>
          <w:szCs w:val="24"/>
        </w:rPr>
        <w:t xml:space="preserve"> </w:t>
      </w:r>
      <w:r w:rsidR="009C3558" w:rsidRPr="00E40471">
        <w:rPr>
          <w:rFonts w:ascii="Times New Roman" w:hAnsi="Times New Roman" w:cs="Times New Roman"/>
          <w:sz w:val="24"/>
          <w:szCs w:val="24"/>
        </w:rPr>
        <w:t>percentile of BMI</w:t>
      </w:r>
      <w:r w:rsidR="00A061B6" w:rsidRPr="00E40471">
        <w:rPr>
          <w:rFonts w:ascii="Times New Roman" w:hAnsi="Times New Roman" w:cs="Times New Roman"/>
          <w:sz w:val="24"/>
          <w:szCs w:val="24"/>
        </w:rPr>
        <w:t>, i.e., for women who</w:t>
      </w:r>
      <w:r>
        <w:rPr>
          <w:rFonts w:ascii="Times New Roman" w:hAnsi="Times New Roman" w:cs="Times New Roman"/>
          <w:sz w:val="24"/>
          <w:szCs w:val="24"/>
        </w:rPr>
        <w:t xml:space="preserve"> </w:t>
      </w:r>
      <w:r w:rsidR="002E36B3">
        <w:rPr>
          <w:rFonts w:ascii="Times New Roman" w:hAnsi="Times New Roman" w:cs="Times New Roman"/>
          <w:sz w:val="24"/>
          <w:szCs w:val="24"/>
        </w:rPr>
        <w:t>are</w:t>
      </w:r>
      <w:r>
        <w:rPr>
          <w:rFonts w:ascii="Times New Roman" w:hAnsi="Times New Roman" w:cs="Times New Roman"/>
          <w:sz w:val="24"/>
          <w:szCs w:val="24"/>
        </w:rPr>
        <w:t xml:space="preserve"> close to </w:t>
      </w:r>
      <w:r w:rsidR="00FB5358">
        <w:rPr>
          <w:rFonts w:ascii="Times New Roman" w:hAnsi="Times New Roman" w:cs="Times New Roman"/>
          <w:sz w:val="24"/>
          <w:szCs w:val="24"/>
        </w:rPr>
        <w:t xml:space="preserve">the </w:t>
      </w:r>
      <w:r>
        <w:rPr>
          <w:rFonts w:ascii="Times New Roman" w:hAnsi="Times New Roman" w:cs="Times New Roman"/>
          <w:sz w:val="24"/>
          <w:szCs w:val="24"/>
        </w:rPr>
        <w:t xml:space="preserve">threshold of obesity with </w:t>
      </w:r>
      <w:r w:rsidR="00A061B6" w:rsidRPr="00E40471">
        <w:rPr>
          <w:rFonts w:ascii="Times New Roman" w:hAnsi="Times New Roman" w:cs="Times New Roman"/>
          <w:sz w:val="24"/>
          <w:szCs w:val="24"/>
        </w:rPr>
        <w:t xml:space="preserve"> BMIs  greater than 29</w:t>
      </w:r>
      <w:r w:rsidR="00CE57F8" w:rsidRPr="00E40471">
        <w:rPr>
          <w:rFonts w:ascii="Times New Roman" w:hAnsi="Times New Roman" w:cs="Times New Roman"/>
          <w:sz w:val="24"/>
          <w:szCs w:val="24"/>
        </w:rPr>
        <w:t>.19</w:t>
      </w:r>
      <w:r w:rsidR="00A061B6" w:rsidRPr="00E40471">
        <w:rPr>
          <w:rFonts w:ascii="Times New Roman" w:hAnsi="Times New Roman" w:cs="Times New Roman"/>
          <w:sz w:val="24"/>
          <w:szCs w:val="24"/>
        </w:rPr>
        <w:t xml:space="preserve"> kg/m</w:t>
      </w:r>
      <w:r w:rsidR="00A061B6" w:rsidRPr="00E40471">
        <w:rPr>
          <w:rFonts w:ascii="Times New Roman" w:hAnsi="Times New Roman" w:cs="Times New Roman"/>
          <w:sz w:val="24"/>
          <w:szCs w:val="24"/>
          <w:vertAlign w:val="superscript"/>
        </w:rPr>
        <w:t>2</w:t>
      </w:r>
      <w:r w:rsidR="009C3558" w:rsidRPr="00E40471">
        <w:rPr>
          <w:rFonts w:ascii="Times New Roman" w:hAnsi="Times New Roman" w:cs="Times New Roman"/>
          <w:sz w:val="24"/>
          <w:szCs w:val="24"/>
        </w:rPr>
        <w:t>.</w:t>
      </w:r>
      <w:r w:rsidR="009C3558">
        <w:rPr>
          <w:rFonts w:ascii="Times New Roman" w:hAnsi="Times New Roman" w:cs="Times New Roman"/>
          <w:sz w:val="24"/>
          <w:szCs w:val="24"/>
        </w:rPr>
        <w:t xml:space="preserve"> </w:t>
      </w:r>
    </w:p>
    <w:p w14:paraId="7DE7142B" w14:textId="373AC2A2" w:rsidR="00863255" w:rsidRDefault="00936374"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862577">
        <w:rPr>
          <w:rFonts w:ascii="Times New Roman" w:hAnsi="Times New Roman" w:cs="Times New Roman"/>
          <w:sz w:val="24"/>
          <w:szCs w:val="24"/>
        </w:rPr>
        <w:t xml:space="preserve"> use a second</w:t>
      </w:r>
      <w:r>
        <w:rPr>
          <w:rFonts w:ascii="Times New Roman" w:hAnsi="Times New Roman" w:cs="Times New Roman"/>
          <w:sz w:val="24"/>
          <w:szCs w:val="24"/>
        </w:rPr>
        <w:t xml:space="preserve"> measure </w:t>
      </w:r>
      <w:r w:rsidR="00862577">
        <w:rPr>
          <w:rFonts w:ascii="Times New Roman" w:hAnsi="Times New Roman" w:cs="Times New Roman"/>
          <w:sz w:val="24"/>
          <w:szCs w:val="24"/>
        </w:rPr>
        <w:t xml:space="preserve">of </w:t>
      </w:r>
      <w:r>
        <w:rPr>
          <w:rFonts w:ascii="Times New Roman" w:hAnsi="Times New Roman" w:cs="Times New Roman"/>
          <w:sz w:val="24"/>
          <w:szCs w:val="24"/>
        </w:rPr>
        <w:t xml:space="preserve">intrahousehold status </w:t>
      </w:r>
      <w:r w:rsidR="00862577">
        <w:rPr>
          <w:rFonts w:ascii="Times New Roman" w:hAnsi="Times New Roman" w:cs="Times New Roman"/>
          <w:sz w:val="24"/>
          <w:szCs w:val="24"/>
        </w:rPr>
        <w:t xml:space="preserve">— </w:t>
      </w:r>
      <w:r>
        <w:rPr>
          <w:rFonts w:ascii="Times New Roman" w:hAnsi="Times New Roman" w:cs="Times New Roman"/>
          <w:sz w:val="24"/>
          <w:szCs w:val="24"/>
        </w:rPr>
        <w:t>daughter-in-law’s rank</w:t>
      </w:r>
      <w:r w:rsidR="00862577">
        <w:rPr>
          <w:rFonts w:ascii="Times New Roman" w:hAnsi="Times New Roman" w:cs="Times New Roman"/>
          <w:sz w:val="24"/>
          <w:szCs w:val="24"/>
        </w:rPr>
        <w:t xml:space="preserve"> —</w:t>
      </w:r>
      <w:r>
        <w:rPr>
          <w:rFonts w:ascii="Times New Roman" w:hAnsi="Times New Roman" w:cs="Times New Roman"/>
          <w:sz w:val="24"/>
          <w:szCs w:val="24"/>
        </w:rPr>
        <w:t xml:space="preserve"> to verify the robustness of our main result. Running i</w:t>
      </w:r>
      <w:r w:rsidR="009C3558">
        <w:rPr>
          <w:rFonts w:ascii="Times New Roman" w:hAnsi="Times New Roman" w:cs="Times New Roman"/>
          <w:sz w:val="24"/>
          <w:szCs w:val="24"/>
        </w:rPr>
        <w:t>ntrahousehold regressions on the sub-sample of patrilocal joint families that have two daughters-in-law, we find that lower-ranked daughters-in-law (</w:t>
      </w:r>
      <w:proofErr w:type="spellStart"/>
      <w:r w:rsidR="009C3558">
        <w:rPr>
          <w:rFonts w:ascii="Times New Roman" w:hAnsi="Times New Roman" w:cs="Times New Roman"/>
          <w:i/>
          <w:sz w:val="24"/>
          <w:szCs w:val="24"/>
        </w:rPr>
        <w:t>chhoti</w:t>
      </w:r>
      <w:proofErr w:type="spellEnd"/>
      <w:r w:rsidR="009C3558">
        <w:rPr>
          <w:rFonts w:ascii="Times New Roman" w:hAnsi="Times New Roman" w:cs="Times New Roman"/>
          <w:i/>
          <w:sz w:val="24"/>
          <w:szCs w:val="24"/>
        </w:rPr>
        <w:t>-bahus</w:t>
      </w:r>
      <w:r w:rsidR="009C3558">
        <w:rPr>
          <w:rFonts w:ascii="Times New Roman" w:hAnsi="Times New Roman" w:cs="Times New Roman"/>
          <w:sz w:val="24"/>
          <w:szCs w:val="24"/>
        </w:rPr>
        <w:t>) have 0.569 kg/m</w:t>
      </w:r>
      <w:r w:rsidR="009C3558">
        <w:rPr>
          <w:rFonts w:ascii="Times New Roman" w:hAnsi="Times New Roman" w:cs="Times New Roman"/>
          <w:sz w:val="24"/>
          <w:szCs w:val="24"/>
          <w:vertAlign w:val="superscript"/>
        </w:rPr>
        <w:t>2</w:t>
      </w:r>
      <w:r w:rsidR="009C3558">
        <w:rPr>
          <w:rFonts w:ascii="Times New Roman" w:hAnsi="Times New Roman" w:cs="Times New Roman"/>
          <w:sz w:val="24"/>
          <w:szCs w:val="24"/>
        </w:rPr>
        <w:t xml:space="preserve"> lower BMI than higher-ranked daughters-in-law (</w:t>
      </w:r>
      <w:proofErr w:type="spellStart"/>
      <w:r w:rsidR="009C3558">
        <w:rPr>
          <w:rFonts w:ascii="Times New Roman" w:hAnsi="Times New Roman" w:cs="Times New Roman"/>
          <w:i/>
          <w:sz w:val="24"/>
          <w:szCs w:val="24"/>
        </w:rPr>
        <w:t>badi</w:t>
      </w:r>
      <w:proofErr w:type="spellEnd"/>
      <w:r w:rsidR="009C3558">
        <w:rPr>
          <w:rFonts w:ascii="Times New Roman" w:hAnsi="Times New Roman" w:cs="Times New Roman"/>
          <w:i/>
          <w:sz w:val="24"/>
          <w:szCs w:val="24"/>
        </w:rPr>
        <w:t>-bahus</w:t>
      </w:r>
      <w:r w:rsidR="009C3558">
        <w:rPr>
          <w:rFonts w:ascii="Times New Roman" w:hAnsi="Times New Roman" w:cs="Times New Roman"/>
          <w:sz w:val="24"/>
          <w:szCs w:val="24"/>
        </w:rPr>
        <w:t>)</w:t>
      </w:r>
      <w:r w:rsidR="00272AE9">
        <w:rPr>
          <w:rFonts w:ascii="Times New Roman" w:hAnsi="Times New Roman" w:cs="Times New Roman"/>
          <w:sz w:val="24"/>
          <w:szCs w:val="24"/>
        </w:rPr>
        <w:t xml:space="preserve"> (Table 2)</w:t>
      </w:r>
      <w:r w:rsidR="009C3558">
        <w:rPr>
          <w:rFonts w:ascii="Times New Roman" w:hAnsi="Times New Roman" w:cs="Times New Roman"/>
          <w:sz w:val="24"/>
          <w:szCs w:val="24"/>
        </w:rPr>
        <w:t xml:space="preserve">. This relationship is prominent in the rural sample while due to a smaller sample size, it is imprecisely estimated in the urban sample. </w:t>
      </w:r>
      <w:r w:rsidR="00DF7629">
        <w:rPr>
          <w:rFonts w:ascii="Times New Roman" w:hAnsi="Times New Roman" w:cs="Times New Roman"/>
          <w:sz w:val="24"/>
          <w:szCs w:val="24"/>
        </w:rPr>
        <w:t xml:space="preserve">Using a previous round of NFHS, </w:t>
      </w:r>
      <w:r w:rsidR="009C3558">
        <w:rPr>
          <w:rFonts w:ascii="Times New Roman" w:hAnsi="Times New Roman" w:cs="Times New Roman"/>
          <w:sz w:val="24"/>
          <w:szCs w:val="24"/>
        </w:rPr>
        <w:t xml:space="preserve">Coffey </w:t>
      </w:r>
      <w:r w:rsidR="009C3558">
        <w:rPr>
          <w:rFonts w:ascii="Times New Roman" w:hAnsi="Times New Roman" w:cs="Times New Roman"/>
          <w:i/>
          <w:sz w:val="24"/>
          <w:szCs w:val="24"/>
        </w:rPr>
        <w:t>et. al</w:t>
      </w:r>
      <w:r w:rsidR="009C3558">
        <w:rPr>
          <w:rFonts w:ascii="Times New Roman" w:hAnsi="Times New Roman" w:cs="Times New Roman"/>
          <w:sz w:val="24"/>
          <w:szCs w:val="24"/>
        </w:rPr>
        <w:t xml:space="preserve">. </w:t>
      </w:r>
      <w:r w:rsidR="00DF7629">
        <w:rPr>
          <w:rFonts w:ascii="Times New Roman" w:hAnsi="Times New Roman" w:cs="Times New Roman"/>
          <w:sz w:val="24"/>
          <w:szCs w:val="24"/>
        </w:rPr>
        <w:t>(</w:t>
      </w:r>
      <w:r w:rsidR="009C3558">
        <w:rPr>
          <w:rFonts w:ascii="Times New Roman" w:hAnsi="Times New Roman" w:cs="Times New Roman"/>
          <w:sz w:val="24"/>
          <w:szCs w:val="24"/>
        </w:rPr>
        <w:t>2015</w:t>
      </w:r>
      <w:r w:rsidR="00DF7629">
        <w:rPr>
          <w:rFonts w:ascii="Times New Roman" w:hAnsi="Times New Roman" w:cs="Times New Roman"/>
          <w:sz w:val="24"/>
          <w:szCs w:val="24"/>
        </w:rPr>
        <w:t>)</w:t>
      </w:r>
      <w:r w:rsidR="009C3558">
        <w:rPr>
          <w:rFonts w:ascii="Times New Roman" w:hAnsi="Times New Roman" w:cs="Times New Roman"/>
          <w:sz w:val="24"/>
          <w:szCs w:val="24"/>
        </w:rPr>
        <w:t xml:space="preserve"> also find an effect of comparable magnitude, ranging between 0.345 and 0.440 kg/m</w:t>
      </w:r>
      <w:r w:rsidR="009C3558">
        <w:rPr>
          <w:rFonts w:ascii="Times New Roman" w:hAnsi="Times New Roman" w:cs="Times New Roman"/>
          <w:sz w:val="24"/>
          <w:szCs w:val="24"/>
          <w:vertAlign w:val="superscript"/>
        </w:rPr>
        <w:t>2</w:t>
      </w:r>
      <w:r w:rsidR="009C3558">
        <w:rPr>
          <w:rFonts w:ascii="Times New Roman" w:hAnsi="Times New Roman" w:cs="Times New Roman"/>
          <w:sz w:val="24"/>
          <w:szCs w:val="24"/>
        </w:rPr>
        <w:t>.</w:t>
      </w:r>
      <w:r w:rsidR="00863255">
        <w:rPr>
          <w:rFonts w:ascii="Times New Roman" w:hAnsi="Times New Roman" w:cs="Times New Roman"/>
          <w:sz w:val="24"/>
          <w:szCs w:val="24"/>
        </w:rPr>
        <w:t xml:space="preserve"> </w:t>
      </w:r>
    </w:p>
    <w:p w14:paraId="34ADEBF8" w14:textId="5F8EC549" w:rsidR="00C751EB" w:rsidRPr="003364E4" w:rsidRDefault="00391309" w:rsidP="0039130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To further verify the robustness of our result, we </w:t>
      </w:r>
      <w:r w:rsidR="000763BE">
        <w:rPr>
          <w:rFonts w:ascii="Times New Roman" w:hAnsi="Times New Roman" w:cs="Times New Roman"/>
          <w:sz w:val="24"/>
          <w:szCs w:val="24"/>
        </w:rPr>
        <w:t>consider</w:t>
      </w:r>
      <w:r>
        <w:rPr>
          <w:rFonts w:ascii="Times New Roman" w:hAnsi="Times New Roman" w:cs="Times New Roman"/>
          <w:sz w:val="24"/>
          <w:szCs w:val="24"/>
        </w:rPr>
        <w:t xml:space="preserve"> </w:t>
      </w:r>
      <w:r w:rsidR="000763BE">
        <w:rPr>
          <w:rFonts w:ascii="Times New Roman" w:hAnsi="Times New Roman" w:cs="Times New Roman"/>
          <w:sz w:val="24"/>
          <w:szCs w:val="24"/>
        </w:rPr>
        <w:t xml:space="preserve">other </w:t>
      </w:r>
      <w:r>
        <w:rPr>
          <w:rFonts w:ascii="Times New Roman" w:hAnsi="Times New Roman" w:cs="Times New Roman"/>
          <w:sz w:val="24"/>
          <w:szCs w:val="24"/>
        </w:rPr>
        <w:t xml:space="preserve">variables that might be important in explaining some of the variation in women’s </w:t>
      </w:r>
      <w:r w:rsidR="00DF7629">
        <w:rPr>
          <w:rFonts w:ascii="Times New Roman" w:hAnsi="Times New Roman" w:cs="Times New Roman"/>
          <w:sz w:val="24"/>
          <w:szCs w:val="24"/>
        </w:rPr>
        <w:t>BMI</w:t>
      </w:r>
      <w:r>
        <w:rPr>
          <w:rFonts w:ascii="Times New Roman" w:hAnsi="Times New Roman" w:cs="Times New Roman"/>
          <w:sz w:val="24"/>
          <w:szCs w:val="24"/>
        </w:rPr>
        <w:t xml:space="preserve">. More educated women and women who work in salaried jobs in offices are more likely to have higher intrahousehold </w:t>
      </w:r>
      <w:r>
        <w:rPr>
          <w:rFonts w:ascii="Times New Roman" w:hAnsi="Times New Roman" w:cs="Times New Roman"/>
          <w:sz w:val="24"/>
          <w:szCs w:val="24"/>
        </w:rPr>
        <w:lastRenderedPageBreak/>
        <w:t xml:space="preserve">status than their counterparts </w:t>
      </w:r>
      <w:r w:rsidR="00B16F86">
        <w:rPr>
          <w:rFonts w:ascii="Times New Roman" w:hAnsi="Times New Roman" w:cs="Times New Roman"/>
          <w:sz w:val="24"/>
          <w:szCs w:val="24"/>
        </w:rPr>
        <w:fldChar w:fldCharType="begin" w:fldLock="1"/>
      </w:r>
      <w:r w:rsidR="00B16F86">
        <w:rPr>
          <w:rFonts w:ascii="Times New Roman" w:hAnsi="Times New Roman" w:cs="Times New Roman"/>
          <w:sz w:val="24"/>
          <w:szCs w:val="24"/>
        </w:rPr>
        <w:instrText>ADDIN CSL_CITATION {"citationItems":[{"id":"ITEM-1","itemData":{"author":[{"dropping-particle":"","family":"Klasen","given":"Stephan","non-dropping-particle":"","parse-names":false,"suffix":""},{"dropping-particle":"","family":"Pieters","given":"Janneke","non-dropping-particle":"","parse-names":false,"suffix":""}],"id":"ITEM-1","issued":{"date-parts":[["2012"]]},"title":"Push or Pull? Drivers of Female Labor Force Participation during India's Economic Boom","type":"report"},"uris":["http://www.mendeley.com/documents/?uuid=47fe422d-3f55-3b2b-beab-46138e401bcf"]},{"id":"ITEM-2","itemData":{"DOI":"10.1038/sj.ejcn.1600931","ISBN":"0954-3007 (Print)","ISSN":"09543007","PMID":"10713748","abstract":"Objectives: The key objective was to estimate obesity (! 30 kgam 2) in women 15±49 y from developing countries. A second objective was to study how obesity varies by educational level and by residence in urban and rural areas. A third objective was to investigate how national incomes shape the relationship between obesity and eduction or residence. Design: The analyses use cross-sectional data from nationally representative surveys from developing countries carried out in the last decade. Most of the surveys were Demographic Health Surveys (DHS). Data from a survey from the USA are used for comparison. Setting:The 39 surveys used come from 38 developing countries and the USA. Subjects: A total of 147,938 non-pregnant women 15±49 y were included in the analyses. Results: The percentage of obese women was 0.1% in South Asia, 2.5% in Sub-Saharan Africa, 9.6% in Latin America and the Caribbean, 15.4% in Central Eastern EuropeaCommonwealth of Independent States (CEEaCIS), 17.2% in the Middle East and North Africa, and 20.7% in the USA. Levels of obesity in countries increased sharply until a gross national product of US$1500 per capita (1992 values) was reached and changed little thereafter. In very poor countries, such as in Sub-Saharan Africa, obesity levels were greatly concentrated among urban and higher educated women. In more developed countries, such as those in Latin America and the CEEaCIS regions, obesity levels were more equally distributed in the general population. Conclusions: Based on the analyses presented and on a review of the literature, it is concluded that obesity among women is a serious problem in Latin America and the Caribbean, the Middle East and North Africa, and the CEEaCIS region. Obesity is less of a concern in Sub-Saharan Africa, China and South Asia. Obesity levels increased over time in most of the limited number of countries with data, but at varying rates. Rising national incomes in developing countries and increaseWesternization' will most likely lead to increased levels of obesity in the future.","author":[{"dropping-particle":"","family":"Martorell","given":"R","non-dropping-particle":"","parse-names":false,"suffix":""},{"dropping-particle":"","family":"Khan","given":"L Kettel","non-dropping-particle":"","parse-names":false,"suffix":""},{"dropping-particle":"","family":"Hughes","given":"Ml","non-dropping-particle":"","parse-names":false,"suffix":""},{"dropping-particle":"","family":"Grummer-Strawn","given":"Lm","non-dropping-particle":"","parse-names":false,"suffix":""}],"container-title":"European Journal of Clinical Nutrition","id":"ITEM-2","issued":{"date-parts":[["2000"]]},"page":"247-252","title":"Obesity in women from developing countries","type":"article-journal","volume":"54"},"uris":["http://www.mendeley.com/documents/?uuid=f152a05e-4862-41b1-ab41-1d0f1f8c012a"]}],"mendeley":{"formattedCitation":"(Klasen &amp; Pieters, 2012; Martorell et al., 2000)","plainTextFormattedCitation":"(Klasen &amp; Pieters, 2012; Martorell et al., 2000)","previouslyFormattedCitation":"(Klasen &amp; Pieters, 2012; Martorell et al., 2000)"},"properties":{"noteIndex":0},"schema":"https://github.com/citation-style-language/schema/raw/master/csl-citation.json"}</w:instrText>
      </w:r>
      <w:r w:rsidR="00B16F86">
        <w:rPr>
          <w:rFonts w:ascii="Times New Roman" w:hAnsi="Times New Roman" w:cs="Times New Roman"/>
          <w:sz w:val="24"/>
          <w:szCs w:val="24"/>
        </w:rPr>
        <w:fldChar w:fldCharType="separate"/>
      </w:r>
      <w:r w:rsidR="00B16F86" w:rsidRPr="00B16F86">
        <w:rPr>
          <w:rFonts w:ascii="Times New Roman" w:hAnsi="Times New Roman" w:cs="Times New Roman"/>
          <w:noProof/>
          <w:sz w:val="24"/>
          <w:szCs w:val="24"/>
        </w:rPr>
        <w:t>(Klasen &amp; Pieters, 2012; Martorell et al., 2000)</w:t>
      </w:r>
      <w:r w:rsidR="00B16F86">
        <w:rPr>
          <w:rFonts w:ascii="Times New Roman" w:hAnsi="Times New Roman" w:cs="Times New Roman"/>
          <w:sz w:val="24"/>
          <w:szCs w:val="24"/>
        </w:rPr>
        <w:fldChar w:fldCharType="end"/>
      </w:r>
      <w:r>
        <w:rPr>
          <w:rFonts w:ascii="Times New Roman" w:hAnsi="Times New Roman" w:cs="Times New Roman"/>
          <w:sz w:val="24"/>
          <w:szCs w:val="24"/>
        </w:rPr>
        <w:t>. They are also more likely to be overweight/obese.</w:t>
      </w:r>
    </w:p>
    <w:p w14:paraId="30BCFD57" w14:textId="58A55DFD" w:rsidR="000F7F44" w:rsidRDefault="00391309" w:rsidP="002F6E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plot linear polynomial regression graphs to depict the relationship between the probability of being overweight/obese (conditional on age) for different levels of education and for different types of occupations. </w:t>
      </w:r>
      <w:r w:rsidR="00267AF4">
        <w:rPr>
          <w:rFonts w:ascii="Times New Roman" w:hAnsi="Times New Roman" w:cs="Times New Roman"/>
          <w:sz w:val="24"/>
          <w:szCs w:val="24"/>
        </w:rPr>
        <w:t xml:space="preserve">In these graphs, we </w:t>
      </w:r>
      <w:r w:rsidR="00E00391">
        <w:rPr>
          <w:rFonts w:ascii="Times New Roman" w:hAnsi="Times New Roman" w:cs="Times New Roman"/>
          <w:sz w:val="24"/>
          <w:szCs w:val="24"/>
        </w:rPr>
        <w:t xml:space="preserve">consider </w:t>
      </w:r>
      <w:r w:rsidR="00E00391" w:rsidRPr="006F59A9">
        <w:rPr>
          <w:rFonts w:ascii="Times New Roman" w:hAnsi="Times New Roman" w:cs="Times New Roman"/>
          <w:sz w:val="24"/>
          <w:szCs w:val="24"/>
        </w:rPr>
        <w:t xml:space="preserve">BMI </w:t>
      </w:r>
      <w:r w:rsidR="00E00391" w:rsidRPr="006F59A9">
        <w:rPr>
          <w:rFonts w:ascii="Times New Roman" w:eastAsia="Times New Roman" w:hAnsi="Times New Roman" w:cs="Times New Roman"/>
          <w:color w:val="000000"/>
          <w:sz w:val="24"/>
          <w:szCs w:val="24"/>
          <w:lang w:eastAsia="en-IN"/>
        </w:rPr>
        <w:t>≥</w:t>
      </w:r>
      <w:r w:rsidR="00E00391" w:rsidRPr="006F59A9">
        <w:rPr>
          <w:rFonts w:ascii="Times New Roman" w:hAnsi="Times New Roman" w:cs="Times New Roman"/>
          <w:sz w:val="24"/>
          <w:szCs w:val="24"/>
        </w:rPr>
        <w:t xml:space="preserve"> 25 kg/m</w:t>
      </w:r>
      <w:r w:rsidR="00E00391" w:rsidRPr="006F59A9">
        <w:rPr>
          <w:rFonts w:ascii="Times New Roman" w:hAnsi="Times New Roman" w:cs="Times New Roman"/>
          <w:sz w:val="24"/>
          <w:szCs w:val="24"/>
          <w:vertAlign w:val="superscript"/>
        </w:rPr>
        <w:t xml:space="preserve">2 </w:t>
      </w:r>
      <w:r w:rsidR="00E00391" w:rsidRPr="006F59A9">
        <w:rPr>
          <w:rFonts w:ascii="Times New Roman" w:hAnsi="Times New Roman" w:cs="Times New Roman"/>
          <w:sz w:val="24"/>
          <w:szCs w:val="24"/>
        </w:rPr>
        <w:t xml:space="preserve">as indicating </w:t>
      </w:r>
      <w:r w:rsidR="00E00391" w:rsidRPr="006F59A9">
        <w:rPr>
          <w:rFonts w:ascii="Times New Roman" w:hAnsi="Times New Roman" w:cs="Times New Roman"/>
          <w:noProof/>
          <w:sz w:val="24"/>
          <w:szCs w:val="24"/>
        </w:rPr>
        <w:t>overweight/obesity</w:t>
      </w:r>
      <w:r w:rsidR="00E00391">
        <w:rPr>
          <w:rFonts w:ascii="Times New Roman" w:hAnsi="Times New Roman" w:cs="Times New Roman"/>
          <w:noProof/>
          <w:sz w:val="24"/>
          <w:szCs w:val="24"/>
        </w:rPr>
        <w:t xml:space="preserve"> </w:t>
      </w:r>
      <w:r w:rsidR="00E00391">
        <w:rPr>
          <w:rFonts w:ascii="Times New Roman" w:hAnsi="Times New Roman" w:cs="Times New Roman"/>
          <w:noProof/>
          <w:sz w:val="24"/>
          <w:szCs w:val="24"/>
        </w:rPr>
        <w:fldChar w:fldCharType="begin" w:fldLock="1"/>
      </w:r>
      <w:r w:rsidR="00E959B1">
        <w:rPr>
          <w:rFonts w:ascii="Times New Roman" w:hAnsi="Times New Roman" w:cs="Times New Roman"/>
          <w:noProof/>
          <w:sz w:val="24"/>
          <w:szCs w:val="24"/>
        </w:rPr>
        <w:instrText>ADDIN CSL_CITATION {"citationItems":[{"id":"ITEM-1","itemData":{"abstract":"Overweight and obesity represent a rapidly growing threat to the health of populations in an increasing number of countries. Indeed they are now so common that they are replacing more traditional problems such as undernutrition and infectious diseases as the most significant causes of ill-health. Obesity comorbidities include coronary heart disease, hypertension and stroke, certain types of cancer, non-insulin-dependent diabetes, mellitus, gallbladder disease, dyslipidaemia, osteoarthritis and gout, and pulmonary diseases, including sleep apnoea. In addition, the obese suffer from social bias, prejudice and discrimination, on the part not only of the general public but also of health professionals, and this may make them reluctant to seek medical assistance. WHO therefore convened a Consultation on obesity to review current epidemiological information, contributing factors and associated consequences, and this report presents its conclusions and recommendations. In particular, the Consultation considered the system for classifying overweight and obesity based on the body mass index, and concluded that a coherent system is now available and should be adopted internationally.","author":[{"dropping-particle":"","family":"World Health Organization","given":"","non-dropping-particle":"","parse-names":false,"suffix":""}],"id":"ITEM-1","issued":{"date-parts":[["2000"]]},"publisher":"World Health Organization","title":"Obesity : preventing and managing the global epidemic : report of a WHO consultation.","type":"report"},"uris":["http://www.mendeley.com/documents/?uuid=33270d7f-d5e7-3d40-a358-6cf378d6b9cd"]}],"mendeley":{"formattedCitation":"(World Health Organization, 2000)","plainTextFormattedCitation":"(World Health Organization, 2000)","previouslyFormattedCitation":"(World Health Organization, 2000)"},"properties":{"noteIndex":0},"schema":"https://github.com/citation-style-language/schema/raw/master/csl-citation.json"}</w:instrText>
      </w:r>
      <w:r w:rsidR="00E00391">
        <w:rPr>
          <w:rFonts w:ascii="Times New Roman" w:hAnsi="Times New Roman" w:cs="Times New Roman"/>
          <w:noProof/>
          <w:sz w:val="24"/>
          <w:szCs w:val="24"/>
        </w:rPr>
        <w:fldChar w:fldCharType="separate"/>
      </w:r>
      <w:r w:rsidR="00E00391" w:rsidRPr="005B2BDC">
        <w:rPr>
          <w:rFonts w:ascii="Times New Roman" w:hAnsi="Times New Roman" w:cs="Times New Roman"/>
          <w:noProof/>
          <w:sz w:val="24"/>
          <w:szCs w:val="24"/>
        </w:rPr>
        <w:t>(World Health Organization, 2000)</w:t>
      </w:r>
      <w:r w:rsidR="00E00391">
        <w:rPr>
          <w:rFonts w:ascii="Times New Roman" w:hAnsi="Times New Roman" w:cs="Times New Roman"/>
          <w:noProof/>
          <w:sz w:val="24"/>
          <w:szCs w:val="24"/>
        </w:rPr>
        <w:fldChar w:fldCharType="end"/>
      </w:r>
      <w:r w:rsidR="00E00391">
        <w:rPr>
          <w:rFonts w:ascii="Times New Roman" w:hAnsi="Times New Roman" w:cs="Times New Roman"/>
          <w:sz w:val="24"/>
          <w:szCs w:val="24"/>
        </w:rPr>
        <w:t>.</w:t>
      </w:r>
      <w:r w:rsidR="00DF7629">
        <w:rPr>
          <w:rFonts w:ascii="Times New Roman" w:hAnsi="Times New Roman" w:cs="Times New Roman"/>
          <w:sz w:val="24"/>
          <w:szCs w:val="24"/>
        </w:rPr>
        <w:t xml:space="preserve"> </w:t>
      </w:r>
      <w:r w:rsidR="002F6E5D">
        <w:rPr>
          <w:rFonts w:ascii="Times New Roman" w:hAnsi="Times New Roman" w:cs="Times New Roman"/>
          <w:sz w:val="24"/>
          <w:szCs w:val="24"/>
        </w:rPr>
        <w:t xml:space="preserve">We find that women who have received higher education (greater than 12 years of education) are more likely to be overweight/obese at every age compared to those who have secondary or primary school education (Figure 4). </w:t>
      </w:r>
      <w:r w:rsidR="0001582B">
        <w:rPr>
          <w:rFonts w:ascii="Times New Roman" w:hAnsi="Times New Roman" w:cs="Times New Roman"/>
          <w:sz w:val="24"/>
          <w:szCs w:val="24"/>
        </w:rPr>
        <w:t>Moreover,</w:t>
      </w:r>
      <w:r w:rsidR="007F6F70">
        <w:rPr>
          <w:rFonts w:ascii="Times New Roman" w:hAnsi="Times New Roman" w:cs="Times New Roman"/>
          <w:sz w:val="24"/>
          <w:szCs w:val="24"/>
        </w:rPr>
        <w:t xml:space="preserve"> for women who are more educated, </w:t>
      </w:r>
      <w:r w:rsidR="002F6E5D">
        <w:rPr>
          <w:rFonts w:ascii="Times New Roman" w:hAnsi="Times New Roman" w:cs="Times New Roman"/>
          <w:sz w:val="24"/>
          <w:szCs w:val="24"/>
        </w:rPr>
        <w:t>the chances of overweight/obesity increase at a faster rate</w:t>
      </w:r>
      <w:r w:rsidR="007F6F70">
        <w:rPr>
          <w:rFonts w:ascii="Times New Roman" w:hAnsi="Times New Roman" w:cs="Times New Roman"/>
          <w:sz w:val="24"/>
          <w:szCs w:val="24"/>
        </w:rPr>
        <w:t xml:space="preserve"> with age</w:t>
      </w:r>
      <w:r w:rsidR="002F6E5D">
        <w:rPr>
          <w:rFonts w:ascii="Times New Roman" w:hAnsi="Times New Roman" w:cs="Times New Roman"/>
          <w:sz w:val="24"/>
          <w:szCs w:val="24"/>
        </w:rPr>
        <w:t>.</w:t>
      </w:r>
    </w:p>
    <w:p w14:paraId="5D4FC267" w14:textId="77777777" w:rsidR="000F7F44" w:rsidRDefault="000F7F44" w:rsidP="000F7F44">
      <w:pPr>
        <w:spacing w:line="360" w:lineRule="auto"/>
        <w:jc w:val="both"/>
        <w:rPr>
          <w:rFonts w:ascii="Times New Roman" w:hAnsi="Times New Roman" w:cs="Times New Roman"/>
          <w:sz w:val="24"/>
          <w:szCs w:val="24"/>
        </w:rPr>
      </w:pPr>
      <w:r>
        <w:rPr>
          <w:rFonts w:ascii="Times New Roman" w:hAnsi="Times New Roman" w:cs="Times New Roman"/>
          <w:sz w:val="24"/>
          <w:szCs w:val="24"/>
        </w:rPr>
        <w:t>We then plot the same relationship for the following three occupation types: office work, no paid work, and agriculture/manual labour work. We find that women who are working in offices are more likely to be overweight/obese compared to women who are not engaged in paid work, followed by women who are engaged in agriculture and manual labour work (Figure 5). Again, the vertical gap between the curves increases with age. The likelihood of overweight/obesity rises faster with age for women who are working in offices.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7EE33320" w14:textId="7175013A" w:rsidR="009C3558" w:rsidRPr="002F6E5D" w:rsidRDefault="009C3558" w:rsidP="002F6E5D">
      <w:pPr>
        <w:spacing w:line="360" w:lineRule="auto"/>
        <w:jc w:val="both"/>
        <w:rPr>
          <w:rFonts w:ascii="Times New Roman" w:hAnsi="Times New Roman" w:cs="Times New Roman"/>
          <w:sz w:val="24"/>
          <w:szCs w:val="24"/>
        </w:rPr>
      </w:pPr>
      <w:r>
        <w:rPr>
          <w:rFonts w:ascii="Times New Roman" w:hAnsi="Times New Roman" w:cs="Times New Roman"/>
          <w:b/>
          <w:sz w:val="24"/>
          <w:szCs w:val="24"/>
        </w:rPr>
        <w:br w:type="page"/>
      </w:r>
    </w:p>
    <w:p w14:paraId="6D2D4AA8" w14:textId="77777777" w:rsidR="009C3558" w:rsidRDefault="009C3558" w:rsidP="009C3558">
      <w:pPr>
        <w:spacing w:after="0" w:line="276" w:lineRule="auto"/>
        <w:rPr>
          <w:rFonts w:ascii="Times New Roman" w:hAnsi="Times New Roman" w:cs="Times New Roman"/>
          <w:b/>
          <w:iCs/>
          <w:sz w:val="24"/>
          <w:szCs w:val="18"/>
        </w:rPr>
        <w:sectPr w:rsidR="009C3558">
          <w:footerReference w:type="default" r:id="rId11"/>
          <w:pgSz w:w="11906" w:h="16838"/>
          <w:pgMar w:top="1440" w:right="1440" w:bottom="1440" w:left="1440" w:header="709" w:footer="709" w:gutter="0"/>
          <w:cols w:space="720"/>
        </w:sectPr>
      </w:pPr>
    </w:p>
    <w:p w14:paraId="7D960EEE" w14:textId="77777777" w:rsidR="00D94E55" w:rsidRDefault="00D94E55" w:rsidP="00D94E55">
      <w:pPr>
        <w:pStyle w:val="Caption"/>
        <w:keepNext/>
        <w:spacing w:line="276" w:lineRule="auto"/>
        <w:jc w:val="both"/>
        <w:rPr>
          <w:rFonts w:ascii="Times New Roman" w:hAnsi="Times New Roman" w:cs="Times New Roman"/>
          <w:b/>
          <w:i w:val="0"/>
          <w:color w:val="auto"/>
          <w:sz w:val="24"/>
        </w:rPr>
      </w:pPr>
      <w:r>
        <w:rPr>
          <w:rFonts w:ascii="Times New Roman" w:hAnsi="Times New Roman" w:cs="Times New Roman"/>
          <w:b/>
          <w:i w:val="0"/>
          <w:color w:val="auto"/>
          <w:sz w:val="24"/>
        </w:rPr>
        <w:lastRenderedPageBreak/>
        <w:t xml:space="preserve">Table </w:t>
      </w:r>
      <w:r>
        <w:rPr>
          <w:rFonts w:ascii="Times New Roman" w:hAnsi="Times New Roman" w:cs="Times New Roman"/>
          <w:b/>
          <w:i w:val="0"/>
          <w:color w:val="auto"/>
          <w:sz w:val="24"/>
        </w:rPr>
        <w:fldChar w:fldCharType="begin"/>
      </w:r>
      <w:r>
        <w:rPr>
          <w:rFonts w:ascii="Times New Roman" w:hAnsi="Times New Roman" w:cs="Times New Roman"/>
          <w:b/>
          <w:i w:val="0"/>
          <w:color w:val="auto"/>
          <w:sz w:val="24"/>
        </w:rPr>
        <w:instrText xml:space="preserve"> SEQ Table \* ARABIC </w:instrText>
      </w:r>
      <w:r>
        <w:rPr>
          <w:rFonts w:ascii="Times New Roman" w:hAnsi="Times New Roman" w:cs="Times New Roman"/>
          <w:b/>
          <w:i w:val="0"/>
          <w:color w:val="auto"/>
          <w:sz w:val="24"/>
        </w:rPr>
        <w:fldChar w:fldCharType="separate"/>
      </w:r>
      <w:r w:rsidR="00C004AA">
        <w:rPr>
          <w:rFonts w:ascii="Times New Roman" w:hAnsi="Times New Roman" w:cs="Times New Roman"/>
          <w:b/>
          <w:i w:val="0"/>
          <w:noProof/>
          <w:color w:val="auto"/>
          <w:sz w:val="24"/>
        </w:rPr>
        <w:t>1</w:t>
      </w:r>
      <w:r>
        <w:rPr>
          <w:rFonts w:ascii="Times New Roman" w:hAnsi="Times New Roman" w:cs="Times New Roman"/>
          <w:b/>
          <w:i w:val="0"/>
          <w:color w:val="auto"/>
          <w:sz w:val="24"/>
        </w:rPr>
        <w:fldChar w:fldCharType="end"/>
      </w:r>
      <w:r>
        <w:rPr>
          <w:rFonts w:ascii="Times New Roman" w:hAnsi="Times New Roman" w:cs="Times New Roman"/>
          <w:b/>
          <w:i w:val="0"/>
          <w:color w:val="auto"/>
          <w:sz w:val="24"/>
        </w:rPr>
        <w:t>: Relationship between first child’s sex and mother’s BMI</w:t>
      </w:r>
    </w:p>
    <w:tbl>
      <w:tblPr>
        <w:tblW w:w="15245" w:type="dxa"/>
        <w:jc w:val="center"/>
        <w:tblLayout w:type="fixed"/>
        <w:tblCellMar>
          <w:left w:w="75" w:type="dxa"/>
          <w:right w:w="75" w:type="dxa"/>
        </w:tblCellMar>
        <w:tblLook w:val="04A0" w:firstRow="1" w:lastRow="0" w:firstColumn="1" w:lastColumn="0" w:noHBand="0" w:noVBand="1"/>
      </w:tblPr>
      <w:tblGrid>
        <w:gridCol w:w="1195"/>
        <w:gridCol w:w="902"/>
        <w:gridCol w:w="368"/>
        <w:gridCol w:w="827"/>
        <w:gridCol w:w="443"/>
        <w:gridCol w:w="752"/>
        <w:gridCol w:w="518"/>
        <w:gridCol w:w="677"/>
        <w:gridCol w:w="593"/>
        <w:gridCol w:w="602"/>
        <w:gridCol w:w="668"/>
        <w:gridCol w:w="527"/>
        <w:gridCol w:w="744"/>
        <w:gridCol w:w="451"/>
        <w:gridCol w:w="819"/>
        <w:gridCol w:w="376"/>
        <w:gridCol w:w="894"/>
        <w:gridCol w:w="301"/>
        <w:gridCol w:w="969"/>
        <w:gridCol w:w="226"/>
        <w:gridCol w:w="1044"/>
        <w:gridCol w:w="151"/>
        <w:gridCol w:w="1198"/>
      </w:tblGrid>
      <w:tr w:rsidR="00D94E55" w:rsidRPr="0056789E" w14:paraId="5608CFA3" w14:textId="77777777" w:rsidTr="00C07398">
        <w:trPr>
          <w:trHeight w:val="252"/>
          <w:jc w:val="center"/>
        </w:trPr>
        <w:tc>
          <w:tcPr>
            <w:tcW w:w="2097" w:type="dxa"/>
            <w:gridSpan w:val="2"/>
            <w:tcBorders>
              <w:top w:val="single" w:sz="6" w:space="0" w:color="auto"/>
              <w:left w:val="nil"/>
              <w:bottom w:val="nil"/>
              <w:right w:val="nil"/>
            </w:tcBorders>
          </w:tcPr>
          <w:p w14:paraId="00C7C311" w14:textId="77777777" w:rsidR="00D94E55" w:rsidRPr="0056789E" w:rsidRDefault="00D94E55" w:rsidP="0078010B">
            <w:pPr>
              <w:widowControl w:val="0"/>
              <w:autoSpaceDE w:val="0"/>
              <w:autoSpaceDN w:val="0"/>
              <w:adjustRightInd w:val="0"/>
              <w:spacing w:after="0" w:line="276" w:lineRule="auto"/>
              <w:rPr>
                <w:rFonts w:ascii="Times New Roman" w:hAnsi="Times New Roman"/>
                <w:sz w:val="24"/>
                <w:szCs w:val="24"/>
              </w:rPr>
            </w:pPr>
          </w:p>
        </w:tc>
        <w:tc>
          <w:tcPr>
            <w:tcW w:w="1195" w:type="dxa"/>
            <w:gridSpan w:val="2"/>
            <w:tcBorders>
              <w:top w:val="single" w:sz="6" w:space="0" w:color="auto"/>
              <w:left w:val="nil"/>
              <w:bottom w:val="nil"/>
              <w:right w:val="nil"/>
            </w:tcBorders>
          </w:tcPr>
          <w:p w14:paraId="0A93075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(0)</w:t>
            </w:r>
          </w:p>
        </w:tc>
        <w:tc>
          <w:tcPr>
            <w:tcW w:w="1195" w:type="dxa"/>
            <w:gridSpan w:val="2"/>
            <w:tcBorders>
              <w:top w:val="single" w:sz="6" w:space="0" w:color="auto"/>
              <w:left w:val="nil"/>
              <w:bottom w:val="nil"/>
              <w:right w:val="nil"/>
            </w:tcBorders>
            <w:hideMark/>
          </w:tcPr>
          <w:p w14:paraId="458E70B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(1)</w:t>
            </w:r>
          </w:p>
        </w:tc>
        <w:tc>
          <w:tcPr>
            <w:tcW w:w="1195" w:type="dxa"/>
            <w:gridSpan w:val="2"/>
            <w:tcBorders>
              <w:top w:val="single" w:sz="6" w:space="0" w:color="auto"/>
              <w:left w:val="nil"/>
              <w:bottom w:val="nil"/>
              <w:right w:val="nil"/>
            </w:tcBorders>
            <w:hideMark/>
          </w:tcPr>
          <w:p w14:paraId="04874AC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(2)</w:t>
            </w:r>
          </w:p>
        </w:tc>
        <w:tc>
          <w:tcPr>
            <w:tcW w:w="1195" w:type="dxa"/>
            <w:gridSpan w:val="2"/>
            <w:tcBorders>
              <w:top w:val="single" w:sz="6" w:space="0" w:color="auto"/>
              <w:left w:val="nil"/>
              <w:bottom w:val="nil"/>
              <w:right w:val="nil"/>
            </w:tcBorders>
            <w:hideMark/>
          </w:tcPr>
          <w:p w14:paraId="554D77A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(3)</w:t>
            </w:r>
          </w:p>
        </w:tc>
        <w:tc>
          <w:tcPr>
            <w:tcW w:w="1195" w:type="dxa"/>
            <w:gridSpan w:val="2"/>
            <w:tcBorders>
              <w:top w:val="single" w:sz="6" w:space="0" w:color="auto"/>
              <w:left w:val="nil"/>
              <w:bottom w:val="nil"/>
              <w:right w:val="nil"/>
            </w:tcBorders>
            <w:hideMark/>
          </w:tcPr>
          <w:p w14:paraId="17F54CE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(4)</w:t>
            </w:r>
          </w:p>
        </w:tc>
        <w:tc>
          <w:tcPr>
            <w:tcW w:w="1195" w:type="dxa"/>
            <w:gridSpan w:val="2"/>
            <w:tcBorders>
              <w:top w:val="single" w:sz="6" w:space="0" w:color="auto"/>
              <w:left w:val="nil"/>
              <w:bottom w:val="nil"/>
              <w:right w:val="nil"/>
            </w:tcBorders>
            <w:hideMark/>
          </w:tcPr>
          <w:p w14:paraId="38948CC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(5)</w:t>
            </w:r>
          </w:p>
        </w:tc>
        <w:tc>
          <w:tcPr>
            <w:tcW w:w="1195" w:type="dxa"/>
            <w:gridSpan w:val="2"/>
            <w:tcBorders>
              <w:top w:val="single" w:sz="6" w:space="0" w:color="auto"/>
              <w:left w:val="nil"/>
              <w:bottom w:val="nil"/>
              <w:right w:val="nil"/>
            </w:tcBorders>
            <w:hideMark/>
          </w:tcPr>
          <w:p w14:paraId="35E91A4A"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(6)</w:t>
            </w:r>
          </w:p>
        </w:tc>
        <w:tc>
          <w:tcPr>
            <w:tcW w:w="1195" w:type="dxa"/>
            <w:gridSpan w:val="2"/>
            <w:tcBorders>
              <w:top w:val="single" w:sz="6" w:space="0" w:color="auto"/>
              <w:left w:val="nil"/>
              <w:bottom w:val="nil"/>
              <w:right w:val="nil"/>
            </w:tcBorders>
            <w:hideMark/>
          </w:tcPr>
          <w:p w14:paraId="4AA24F9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(7)</w:t>
            </w:r>
          </w:p>
        </w:tc>
        <w:tc>
          <w:tcPr>
            <w:tcW w:w="1195" w:type="dxa"/>
            <w:gridSpan w:val="2"/>
            <w:tcBorders>
              <w:top w:val="single" w:sz="6" w:space="0" w:color="auto"/>
              <w:left w:val="nil"/>
              <w:bottom w:val="nil"/>
              <w:right w:val="nil"/>
            </w:tcBorders>
            <w:hideMark/>
          </w:tcPr>
          <w:p w14:paraId="4FD525D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(8)</w:t>
            </w:r>
          </w:p>
        </w:tc>
        <w:tc>
          <w:tcPr>
            <w:tcW w:w="1195" w:type="dxa"/>
            <w:gridSpan w:val="2"/>
            <w:tcBorders>
              <w:top w:val="single" w:sz="6" w:space="0" w:color="auto"/>
              <w:left w:val="nil"/>
              <w:bottom w:val="nil"/>
              <w:right w:val="nil"/>
            </w:tcBorders>
            <w:hideMark/>
          </w:tcPr>
          <w:p w14:paraId="3F1A2B0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(9)</w:t>
            </w:r>
          </w:p>
        </w:tc>
        <w:tc>
          <w:tcPr>
            <w:tcW w:w="1198" w:type="dxa"/>
            <w:tcBorders>
              <w:top w:val="single" w:sz="6" w:space="0" w:color="auto"/>
              <w:left w:val="nil"/>
              <w:bottom w:val="nil"/>
              <w:right w:val="nil"/>
            </w:tcBorders>
          </w:tcPr>
          <w:p w14:paraId="69F0CD8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49EDAF54" w14:textId="77777777" w:rsidTr="00C07398">
        <w:trPr>
          <w:trHeight w:val="621"/>
          <w:jc w:val="center"/>
        </w:trPr>
        <w:tc>
          <w:tcPr>
            <w:tcW w:w="2097" w:type="dxa"/>
            <w:gridSpan w:val="2"/>
            <w:tcBorders>
              <w:top w:val="nil"/>
              <w:left w:val="nil"/>
              <w:bottom w:val="single" w:sz="6" w:space="0" w:color="auto"/>
              <w:right w:val="nil"/>
            </w:tcBorders>
          </w:tcPr>
          <w:p w14:paraId="2B129122" w14:textId="77777777" w:rsidR="00D94E55" w:rsidRPr="0056789E" w:rsidRDefault="00D94E55" w:rsidP="0078010B">
            <w:pPr>
              <w:widowControl w:val="0"/>
              <w:autoSpaceDE w:val="0"/>
              <w:autoSpaceDN w:val="0"/>
              <w:adjustRightInd w:val="0"/>
              <w:spacing w:after="0" w:line="276" w:lineRule="auto"/>
              <w:rPr>
                <w:rFonts w:ascii="Times New Roman" w:hAnsi="Times New Roman"/>
                <w:sz w:val="24"/>
                <w:szCs w:val="24"/>
              </w:rPr>
            </w:pPr>
            <w:r w:rsidRPr="0056789E">
              <w:rPr>
                <w:rFonts w:ascii="Times New Roman" w:hAnsi="Times New Roman"/>
                <w:sz w:val="24"/>
                <w:szCs w:val="24"/>
              </w:rPr>
              <w:t>Coefficients of ‘First child is male’</w:t>
            </w:r>
          </w:p>
        </w:tc>
        <w:tc>
          <w:tcPr>
            <w:tcW w:w="1195" w:type="dxa"/>
            <w:gridSpan w:val="2"/>
            <w:tcBorders>
              <w:top w:val="nil"/>
              <w:left w:val="nil"/>
              <w:bottom w:val="single" w:sz="6" w:space="0" w:color="auto"/>
              <w:right w:val="nil"/>
            </w:tcBorders>
          </w:tcPr>
          <w:p w14:paraId="025694E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OLS</w:t>
            </w:r>
          </w:p>
          <w:p w14:paraId="4E9C1E3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coefficient</w:t>
            </w:r>
          </w:p>
        </w:tc>
        <w:tc>
          <w:tcPr>
            <w:tcW w:w="1195" w:type="dxa"/>
            <w:gridSpan w:val="2"/>
            <w:tcBorders>
              <w:top w:val="nil"/>
              <w:left w:val="nil"/>
              <w:bottom w:val="single" w:sz="6" w:space="0" w:color="auto"/>
              <w:right w:val="nil"/>
            </w:tcBorders>
            <w:hideMark/>
          </w:tcPr>
          <w:p w14:paraId="563F0C5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10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4BC8CAC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20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7118337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30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487A7F9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40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1E7EBD1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50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7F2A173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60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0CCA7C3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70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4F0C29F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80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5" w:type="dxa"/>
            <w:gridSpan w:val="2"/>
            <w:tcBorders>
              <w:top w:val="nil"/>
              <w:left w:val="nil"/>
              <w:bottom w:val="single" w:sz="6" w:space="0" w:color="auto"/>
              <w:right w:val="nil"/>
            </w:tcBorders>
            <w:hideMark/>
          </w:tcPr>
          <w:p w14:paraId="20B2B65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90</w:t>
            </w:r>
            <w:r w:rsidRPr="0056789E">
              <w:rPr>
                <w:rFonts w:ascii="Times New Roman" w:hAnsi="Times New Roman"/>
                <w:sz w:val="24"/>
                <w:szCs w:val="24"/>
                <w:vertAlign w:val="superscript"/>
              </w:rPr>
              <w:t>th</w:t>
            </w:r>
            <w:r w:rsidRPr="0056789E">
              <w:rPr>
                <w:rFonts w:ascii="Times New Roman" w:hAnsi="Times New Roman"/>
                <w:sz w:val="24"/>
                <w:szCs w:val="24"/>
              </w:rPr>
              <w:t xml:space="preserve"> percentile</w:t>
            </w:r>
          </w:p>
        </w:tc>
        <w:tc>
          <w:tcPr>
            <w:tcW w:w="1198" w:type="dxa"/>
            <w:tcBorders>
              <w:top w:val="nil"/>
              <w:left w:val="nil"/>
              <w:bottom w:val="single" w:sz="6" w:space="0" w:color="auto"/>
              <w:right w:val="nil"/>
            </w:tcBorders>
            <w:hideMark/>
          </w:tcPr>
          <w:p w14:paraId="030AA1C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sz w:val="24"/>
                <w:szCs w:val="24"/>
              </w:rPr>
              <w:t>Sample size</w:t>
            </w:r>
          </w:p>
        </w:tc>
      </w:tr>
      <w:tr w:rsidR="00D94E55" w:rsidRPr="0056789E" w14:paraId="79B7C4AB" w14:textId="77777777" w:rsidTr="00C07398">
        <w:trPr>
          <w:gridAfter w:val="2"/>
          <w:wAfter w:w="1349" w:type="dxa"/>
          <w:trHeight w:val="252"/>
          <w:jc w:val="center"/>
        </w:trPr>
        <w:tc>
          <w:tcPr>
            <w:tcW w:w="1195" w:type="dxa"/>
          </w:tcPr>
          <w:p w14:paraId="3E6C0767"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5164DBC0"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254F2CB8"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69734BC2"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072E452B"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1520477C"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1" w:type="dxa"/>
            <w:gridSpan w:val="2"/>
          </w:tcPr>
          <w:p w14:paraId="126310C1"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7D867222"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29D58122"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7EC7B5B6"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c>
          <w:tcPr>
            <w:tcW w:w="1270" w:type="dxa"/>
            <w:gridSpan w:val="2"/>
          </w:tcPr>
          <w:p w14:paraId="4E930871" w14:textId="77777777" w:rsidR="00D94E55" w:rsidRPr="0056789E" w:rsidRDefault="00D94E55" w:rsidP="0078010B">
            <w:pPr>
              <w:widowControl w:val="0"/>
              <w:autoSpaceDE w:val="0"/>
              <w:autoSpaceDN w:val="0"/>
              <w:adjustRightInd w:val="0"/>
              <w:spacing w:after="0" w:line="276" w:lineRule="auto"/>
              <w:rPr>
                <w:rFonts w:ascii="Times New Roman" w:hAnsi="Times New Roman"/>
                <w:i/>
                <w:sz w:val="24"/>
                <w:szCs w:val="24"/>
              </w:rPr>
            </w:pPr>
          </w:p>
        </w:tc>
      </w:tr>
      <w:tr w:rsidR="00D94E55" w:rsidRPr="0056789E" w14:paraId="12EB7EC3" w14:textId="77777777" w:rsidTr="00C07398">
        <w:trPr>
          <w:trHeight w:val="252"/>
          <w:jc w:val="center"/>
        </w:trPr>
        <w:tc>
          <w:tcPr>
            <w:tcW w:w="2097" w:type="dxa"/>
            <w:gridSpan w:val="2"/>
            <w:hideMark/>
          </w:tcPr>
          <w:p w14:paraId="1A00CA5C"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b/>
                <w:sz w:val="24"/>
                <w:szCs w:val="24"/>
              </w:rPr>
            </w:pPr>
            <w:r w:rsidRPr="0056789E">
              <w:rPr>
                <w:rFonts w:ascii="Times New Roman" w:hAnsi="Times New Roman"/>
                <w:b/>
                <w:sz w:val="24"/>
                <w:szCs w:val="24"/>
              </w:rPr>
              <w:t>Full Sample</w:t>
            </w:r>
          </w:p>
        </w:tc>
        <w:tc>
          <w:tcPr>
            <w:tcW w:w="1195" w:type="dxa"/>
            <w:gridSpan w:val="2"/>
          </w:tcPr>
          <w:p w14:paraId="2B5FF72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0.079***</w:t>
            </w:r>
          </w:p>
        </w:tc>
        <w:tc>
          <w:tcPr>
            <w:tcW w:w="1195" w:type="dxa"/>
            <w:gridSpan w:val="2"/>
            <w:hideMark/>
          </w:tcPr>
          <w:p w14:paraId="1B9A4554"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0.050***</w:t>
            </w:r>
          </w:p>
        </w:tc>
        <w:tc>
          <w:tcPr>
            <w:tcW w:w="1195" w:type="dxa"/>
            <w:gridSpan w:val="2"/>
            <w:hideMark/>
          </w:tcPr>
          <w:p w14:paraId="0862620A"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0.070***</w:t>
            </w:r>
          </w:p>
        </w:tc>
        <w:tc>
          <w:tcPr>
            <w:tcW w:w="1195" w:type="dxa"/>
            <w:gridSpan w:val="2"/>
            <w:hideMark/>
          </w:tcPr>
          <w:p w14:paraId="4157C7CA"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0.080***</w:t>
            </w:r>
          </w:p>
        </w:tc>
        <w:tc>
          <w:tcPr>
            <w:tcW w:w="1195" w:type="dxa"/>
            <w:gridSpan w:val="2"/>
            <w:hideMark/>
          </w:tcPr>
          <w:p w14:paraId="5F986606"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0.090***</w:t>
            </w:r>
          </w:p>
        </w:tc>
        <w:tc>
          <w:tcPr>
            <w:tcW w:w="1195" w:type="dxa"/>
            <w:gridSpan w:val="2"/>
            <w:hideMark/>
          </w:tcPr>
          <w:p w14:paraId="748EE59E"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0.110***</w:t>
            </w:r>
          </w:p>
        </w:tc>
        <w:tc>
          <w:tcPr>
            <w:tcW w:w="1195" w:type="dxa"/>
            <w:gridSpan w:val="2"/>
            <w:hideMark/>
          </w:tcPr>
          <w:p w14:paraId="290BDEC1"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0.090***</w:t>
            </w:r>
          </w:p>
        </w:tc>
        <w:tc>
          <w:tcPr>
            <w:tcW w:w="1195" w:type="dxa"/>
            <w:gridSpan w:val="2"/>
            <w:hideMark/>
          </w:tcPr>
          <w:p w14:paraId="476D4B6F"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0.110***</w:t>
            </w:r>
          </w:p>
        </w:tc>
        <w:tc>
          <w:tcPr>
            <w:tcW w:w="1195" w:type="dxa"/>
            <w:gridSpan w:val="2"/>
            <w:hideMark/>
          </w:tcPr>
          <w:p w14:paraId="46F3B971"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0.100***</w:t>
            </w:r>
          </w:p>
        </w:tc>
        <w:tc>
          <w:tcPr>
            <w:tcW w:w="1195" w:type="dxa"/>
            <w:gridSpan w:val="2"/>
            <w:hideMark/>
          </w:tcPr>
          <w:p w14:paraId="0F1DEEE8" w14:textId="77777777" w:rsidR="00D94E55" w:rsidRPr="00342AA6"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342AA6">
              <w:rPr>
                <w:rFonts w:ascii="Times New Roman" w:hAnsi="Times New Roman" w:cs="Times New Roman"/>
                <w:sz w:val="24"/>
                <w:szCs w:val="24"/>
              </w:rPr>
              <w:t>0.080**</w:t>
            </w:r>
          </w:p>
        </w:tc>
        <w:tc>
          <w:tcPr>
            <w:tcW w:w="1198" w:type="dxa"/>
            <w:hideMark/>
          </w:tcPr>
          <w:p w14:paraId="0A62FF5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440,512</w:t>
            </w:r>
          </w:p>
        </w:tc>
      </w:tr>
      <w:tr w:rsidR="00D94E55" w:rsidRPr="0056789E" w14:paraId="4384CCF4" w14:textId="77777777" w:rsidTr="00C07398">
        <w:trPr>
          <w:trHeight w:val="252"/>
          <w:jc w:val="center"/>
        </w:trPr>
        <w:tc>
          <w:tcPr>
            <w:tcW w:w="2097" w:type="dxa"/>
            <w:gridSpan w:val="2"/>
          </w:tcPr>
          <w:p w14:paraId="6F6AA87F"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69CF100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(0.015)</w:t>
            </w:r>
          </w:p>
        </w:tc>
        <w:tc>
          <w:tcPr>
            <w:tcW w:w="1195" w:type="dxa"/>
            <w:gridSpan w:val="2"/>
            <w:hideMark/>
          </w:tcPr>
          <w:p w14:paraId="47A72BD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(0.014)</w:t>
            </w:r>
          </w:p>
        </w:tc>
        <w:tc>
          <w:tcPr>
            <w:tcW w:w="1195" w:type="dxa"/>
            <w:gridSpan w:val="2"/>
            <w:hideMark/>
          </w:tcPr>
          <w:p w14:paraId="734AD47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(0.014)</w:t>
            </w:r>
          </w:p>
        </w:tc>
        <w:tc>
          <w:tcPr>
            <w:tcW w:w="1195" w:type="dxa"/>
            <w:gridSpan w:val="2"/>
            <w:hideMark/>
          </w:tcPr>
          <w:p w14:paraId="18C6AE6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191C998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793AA52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59DEFCE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(0.017)</w:t>
            </w:r>
          </w:p>
        </w:tc>
        <w:tc>
          <w:tcPr>
            <w:tcW w:w="1195" w:type="dxa"/>
            <w:gridSpan w:val="2"/>
            <w:hideMark/>
          </w:tcPr>
          <w:p w14:paraId="5A99BA4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(0.020)</w:t>
            </w:r>
          </w:p>
        </w:tc>
        <w:tc>
          <w:tcPr>
            <w:tcW w:w="1195" w:type="dxa"/>
            <w:gridSpan w:val="2"/>
            <w:hideMark/>
          </w:tcPr>
          <w:p w14:paraId="568C401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(0.024)</w:t>
            </w:r>
          </w:p>
        </w:tc>
        <w:tc>
          <w:tcPr>
            <w:tcW w:w="1195" w:type="dxa"/>
            <w:gridSpan w:val="2"/>
            <w:hideMark/>
          </w:tcPr>
          <w:p w14:paraId="5D8457D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(0.033)</w:t>
            </w:r>
          </w:p>
        </w:tc>
        <w:tc>
          <w:tcPr>
            <w:tcW w:w="1198" w:type="dxa"/>
          </w:tcPr>
          <w:p w14:paraId="392B0C5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7248083B" w14:textId="77777777" w:rsidTr="00C07398">
        <w:trPr>
          <w:trHeight w:val="252"/>
          <w:jc w:val="center"/>
        </w:trPr>
        <w:tc>
          <w:tcPr>
            <w:tcW w:w="2097" w:type="dxa"/>
            <w:gridSpan w:val="2"/>
          </w:tcPr>
          <w:p w14:paraId="58B78FB2" w14:textId="77777777" w:rsidR="00D94E55" w:rsidRPr="0056789E" w:rsidRDefault="00D94E55" w:rsidP="0078010B">
            <w:pPr>
              <w:widowControl w:val="0"/>
              <w:autoSpaceDE w:val="0"/>
              <w:autoSpaceDN w:val="0"/>
              <w:adjustRightInd w:val="0"/>
              <w:spacing w:after="0" w:line="276" w:lineRule="auto"/>
              <w:rPr>
                <w:rFonts w:ascii="Times New Roman" w:hAnsi="Times New Roman"/>
                <w:sz w:val="24"/>
                <w:szCs w:val="24"/>
              </w:rPr>
            </w:pPr>
            <w:r w:rsidRPr="0056789E">
              <w:rPr>
                <w:rFonts w:ascii="Times New Roman" w:hAnsi="Times New Roman"/>
                <w:sz w:val="24"/>
                <w:szCs w:val="24"/>
              </w:rPr>
              <w:t>Corresponding BMI</w:t>
            </w:r>
          </w:p>
        </w:tc>
        <w:tc>
          <w:tcPr>
            <w:tcW w:w="1195" w:type="dxa"/>
            <w:gridSpan w:val="2"/>
          </w:tcPr>
          <w:p w14:paraId="15107E7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34CFD30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17.12</w:t>
            </w:r>
          </w:p>
        </w:tc>
        <w:tc>
          <w:tcPr>
            <w:tcW w:w="1195" w:type="dxa"/>
            <w:gridSpan w:val="2"/>
          </w:tcPr>
          <w:p w14:paraId="23DE7CF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18.26</w:t>
            </w:r>
          </w:p>
        </w:tc>
        <w:tc>
          <w:tcPr>
            <w:tcW w:w="1195" w:type="dxa"/>
            <w:gridSpan w:val="2"/>
          </w:tcPr>
          <w:p w14:paraId="296C108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19.21</w:t>
            </w:r>
          </w:p>
        </w:tc>
        <w:tc>
          <w:tcPr>
            <w:tcW w:w="1195" w:type="dxa"/>
            <w:gridSpan w:val="2"/>
          </w:tcPr>
          <w:p w14:paraId="31C1EE5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20.12</w:t>
            </w:r>
          </w:p>
        </w:tc>
        <w:tc>
          <w:tcPr>
            <w:tcW w:w="1195" w:type="dxa"/>
            <w:gridSpan w:val="2"/>
          </w:tcPr>
          <w:p w14:paraId="77E26D4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21.03</w:t>
            </w:r>
          </w:p>
        </w:tc>
        <w:tc>
          <w:tcPr>
            <w:tcW w:w="1195" w:type="dxa"/>
            <w:gridSpan w:val="2"/>
          </w:tcPr>
          <w:p w14:paraId="4486400A"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22.00</w:t>
            </w:r>
          </w:p>
        </w:tc>
        <w:tc>
          <w:tcPr>
            <w:tcW w:w="1195" w:type="dxa"/>
            <w:gridSpan w:val="2"/>
          </w:tcPr>
          <w:p w14:paraId="6D5388F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23.15</w:t>
            </w:r>
          </w:p>
        </w:tc>
        <w:tc>
          <w:tcPr>
            <w:tcW w:w="1195" w:type="dxa"/>
            <w:gridSpan w:val="2"/>
          </w:tcPr>
          <w:p w14:paraId="38BB251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24.71</w:t>
            </w:r>
          </w:p>
        </w:tc>
        <w:tc>
          <w:tcPr>
            <w:tcW w:w="1195" w:type="dxa"/>
            <w:gridSpan w:val="2"/>
          </w:tcPr>
          <w:p w14:paraId="7E8A621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sz w:val="24"/>
                <w:szCs w:val="24"/>
              </w:rPr>
              <w:t>27.23</w:t>
            </w:r>
          </w:p>
        </w:tc>
        <w:tc>
          <w:tcPr>
            <w:tcW w:w="1198" w:type="dxa"/>
          </w:tcPr>
          <w:p w14:paraId="1DE1961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2557513C" w14:textId="77777777" w:rsidTr="00C07398">
        <w:trPr>
          <w:trHeight w:val="252"/>
          <w:jc w:val="center"/>
        </w:trPr>
        <w:tc>
          <w:tcPr>
            <w:tcW w:w="2097" w:type="dxa"/>
            <w:gridSpan w:val="2"/>
          </w:tcPr>
          <w:p w14:paraId="5070C6C1"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1185B5C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19A663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B4FE8D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33A3E43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317795C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3B903A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BCDDEC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3E8729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7805C0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2573E3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8" w:type="dxa"/>
          </w:tcPr>
          <w:p w14:paraId="67FB0E0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4F86415B" w14:textId="77777777" w:rsidTr="00C07398">
        <w:trPr>
          <w:trHeight w:val="252"/>
          <w:jc w:val="center"/>
        </w:trPr>
        <w:tc>
          <w:tcPr>
            <w:tcW w:w="2097" w:type="dxa"/>
            <w:gridSpan w:val="2"/>
          </w:tcPr>
          <w:p w14:paraId="21D437FA"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657428B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344BE05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DE9F88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3EFBF6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F8F08B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3D4E522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0B1D3A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1112CF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AF7F42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55D4B7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8" w:type="dxa"/>
          </w:tcPr>
          <w:p w14:paraId="0725C86A"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4D317C00" w14:textId="77777777" w:rsidTr="00C07398">
        <w:trPr>
          <w:trHeight w:val="265"/>
          <w:jc w:val="center"/>
        </w:trPr>
        <w:tc>
          <w:tcPr>
            <w:tcW w:w="2097" w:type="dxa"/>
            <w:gridSpan w:val="2"/>
            <w:hideMark/>
          </w:tcPr>
          <w:p w14:paraId="6C861866"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b/>
                <w:sz w:val="24"/>
                <w:szCs w:val="24"/>
              </w:rPr>
            </w:pPr>
            <w:r w:rsidRPr="0056789E">
              <w:rPr>
                <w:rFonts w:ascii="Times New Roman" w:hAnsi="Times New Roman"/>
                <w:b/>
                <w:sz w:val="24"/>
                <w:szCs w:val="24"/>
              </w:rPr>
              <w:t>Never Terminated</w:t>
            </w:r>
          </w:p>
        </w:tc>
        <w:tc>
          <w:tcPr>
            <w:tcW w:w="1195" w:type="dxa"/>
            <w:gridSpan w:val="2"/>
          </w:tcPr>
          <w:p w14:paraId="6F62E0C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0.083***</w:t>
            </w:r>
          </w:p>
        </w:tc>
        <w:tc>
          <w:tcPr>
            <w:tcW w:w="1195" w:type="dxa"/>
            <w:gridSpan w:val="2"/>
            <w:hideMark/>
          </w:tcPr>
          <w:p w14:paraId="3F576AC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0.050***</w:t>
            </w:r>
          </w:p>
        </w:tc>
        <w:tc>
          <w:tcPr>
            <w:tcW w:w="1195" w:type="dxa"/>
            <w:gridSpan w:val="2"/>
            <w:hideMark/>
          </w:tcPr>
          <w:p w14:paraId="17A8E8D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0.070***</w:t>
            </w:r>
          </w:p>
        </w:tc>
        <w:tc>
          <w:tcPr>
            <w:tcW w:w="1195" w:type="dxa"/>
            <w:gridSpan w:val="2"/>
            <w:hideMark/>
          </w:tcPr>
          <w:p w14:paraId="45F9DDB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0.090***</w:t>
            </w:r>
          </w:p>
        </w:tc>
        <w:tc>
          <w:tcPr>
            <w:tcW w:w="1195" w:type="dxa"/>
            <w:gridSpan w:val="2"/>
            <w:hideMark/>
          </w:tcPr>
          <w:p w14:paraId="1DBCA71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0.100***</w:t>
            </w:r>
          </w:p>
        </w:tc>
        <w:tc>
          <w:tcPr>
            <w:tcW w:w="1195" w:type="dxa"/>
            <w:gridSpan w:val="2"/>
            <w:hideMark/>
          </w:tcPr>
          <w:p w14:paraId="69636B8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0.100***</w:t>
            </w:r>
          </w:p>
        </w:tc>
        <w:tc>
          <w:tcPr>
            <w:tcW w:w="1195" w:type="dxa"/>
            <w:gridSpan w:val="2"/>
            <w:hideMark/>
          </w:tcPr>
          <w:p w14:paraId="262221F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0.100***</w:t>
            </w:r>
          </w:p>
        </w:tc>
        <w:tc>
          <w:tcPr>
            <w:tcW w:w="1195" w:type="dxa"/>
            <w:gridSpan w:val="2"/>
            <w:hideMark/>
          </w:tcPr>
          <w:p w14:paraId="067EED5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4E63AA7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0.110***</w:t>
            </w:r>
          </w:p>
        </w:tc>
        <w:tc>
          <w:tcPr>
            <w:tcW w:w="1195" w:type="dxa"/>
            <w:gridSpan w:val="2"/>
            <w:hideMark/>
          </w:tcPr>
          <w:p w14:paraId="608FC09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8" w:type="dxa"/>
            <w:hideMark/>
          </w:tcPr>
          <w:p w14:paraId="05DB680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369,590</w:t>
            </w:r>
          </w:p>
        </w:tc>
      </w:tr>
      <w:tr w:rsidR="00D94E55" w:rsidRPr="0056789E" w14:paraId="1BB5AE01" w14:textId="77777777" w:rsidTr="00C07398">
        <w:trPr>
          <w:trHeight w:val="252"/>
          <w:jc w:val="center"/>
        </w:trPr>
        <w:tc>
          <w:tcPr>
            <w:tcW w:w="2097" w:type="dxa"/>
            <w:gridSpan w:val="2"/>
          </w:tcPr>
          <w:p w14:paraId="7E6EE815"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7FCA76E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(0.017)</w:t>
            </w:r>
          </w:p>
        </w:tc>
        <w:tc>
          <w:tcPr>
            <w:tcW w:w="1195" w:type="dxa"/>
            <w:gridSpan w:val="2"/>
            <w:hideMark/>
          </w:tcPr>
          <w:p w14:paraId="1540266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590E16F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(0.014)</w:t>
            </w:r>
          </w:p>
        </w:tc>
        <w:tc>
          <w:tcPr>
            <w:tcW w:w="1195" w:type="dxa"/>
            <w:gridSpan w:val="2"/>
            <w:hideMark/>
          </w:tcPr>
          <w:p w14:paraId="0C93912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1434E22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(0.016)</w:t>
            </w:r>
          </w:p>
        </w:tc>
        <w:tc>
          <w:tcPr>
            <w:tcW w:w="1195" w:type="dxa"/>
            <w:gridSpan w:val="2"/>
            <w:hideMark/>
          </w:tcPr>
          <w:p w14:paraId="4BD3FF1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(0.016)</w:t>
            </w:r>
          </w:p>
        </w:tc>
        <w:tc>
          <w:tcPr>
            <w:tcW w:w="1195" w:type="dxa"/>
            <w:gridSpan w:val="2"/>
            <w:hideMark/>
          </w:tcPr>
          <w:p w14:paraId="1EED7C1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(0.018)</w:t>
            </w:r>
          </w:p>
        </w:tc>
        <w:tc>
          <w:tcPr>
            <w:tcW w:w="1195" w:type="dxa"/>
            <w:gridSpan w:val="2"/>
            <w:hideMark/>
          </w:tcPr>
          <w:p w14:paraId="17BEE97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(0.020)</w:t>
            </w:r>
          </w:p>
        </w:tc>
        <w:tc>
          <w:tcPr>
            <w:tcW w:w="1195" w:type="dxa"/>
            <w:gridSpan w:val="2"/>
            <w:hideMark/>
          </w:tcPr>
          <w:p w14:paraId="120FED1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(0.025)</w:t>
            </w:r>
          </w:p>
        </w:tc>
        <w:tc>
          <w:tcPr>
            <w:tcW w:w="1195" w:type="dxa"/>
            <w:gridSpan w:val="2"/>
            <w:hideMark/>
          </w:tcPr>
          <w:p w14:paraId="0806C02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(0.035)</w:t>
            </w:r>
          </w:p>
        </w:tc>
        <w:tc>
          <w:tcPr>
            <w:tcW w:w="1198" w:type="dxa"/>
          </w:tcPr>
          <w:p w14:paraId="06057DB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55CB8487" w14:textId="77777777" w:rsidTr="00C07398">
        <w:trPr>
          <w:trHeight w:val="252"/>
          <w:jc w:val="center"/>
        </w:trPr>
        <w:tc>
          <w:tcPr>
            <w:tcW w:w="2097" w:type="dxa"/>
            <w:gridSpan w:val="2"/>
          </w:tcPr>
          <w:p w14:paraId="23E116E2"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r w:rsidRPr="0056789E">
              <w:rPr>
                <w:rFonts w:ascii="Times New Roman" w:hAnsi="Times New Roman"/>
                <w:sz w:val="24"/>
                <w:szCs w:val="24"/>
              </w:rPr>
              <w:t>Corresponding BMI</w:t>
            </w:r>
          </w:p>
        </w:tc>
        <w:tc>
          <w:tcPr>
            <w:tcW w:w="1195" w:type="dxa"/>
            <w:gridSpan w:val="2"/>
          </w:tcPr>
          <w:p w14:paraId="0D37B0A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C7F996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17.07</w:t>
            </w:r>
          </w:p>
        </w:tc>
        <w:tc>
          <w:tcPr>
            <w:tcW w:w="1195" w:type="dxa"/>
            <w:gridSpan w:val="2"/>
          </w:tcPr>
          <w:p w14:paraId="362CF5D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18.19</w:t>
            </w:r>
          </w:p>
        </w:tc>
        <w:tc>
          <w:tcPr>
            <w:tcW w:w="1195" w:type="dxa"/>
            <w:gridSpan w:val="2"/>
          </w:tcPr>
          <w:p w14:paraId="75E0D2E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19.12</w:t>
            </w:r>
          </w:p>
        </w:tc>
        <w:tc>
          <w:tcPr>
            <w:tcW w:w="1195" w:type="dxa"/>
            <w:gridSpan w:val="2"/>
          </w:tcPr>
          <w:p w14:paraId="4D08144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20.01</w:t>
            </w:r>
          </w:p>
        </w:tc>
        <w:tc>
          <w:tcPr>
            <w:tcW w:w="1195" w:type="dxa"/>
            <w:gridSpan w:val="2"/>
          </w:tcPr>
          <w:p w14:paraId="49FDD2C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20.91</w:t>
            </w:r>
          </w:p>
        </w:tc>
        <w:tc>
          <w:tcPr>
            <w:tcW w:w="1195" w:type="dxa"/>
            <w:gridSpan w:val="2"/>
          </w:tcPr>
          <w:p w14:paraId="298B51D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21.86</w:t>
            </w:r>
          </w:p>
        </w:tc>
        <w:tc>
          <w:tcPr>
            <w:tcW w:w="1195" w:type="dxa"/>
            <w:gridSpan w:val="2"/>
          </w:tcPr>
          <w:p w14:paraId="60CE83A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22.98</w:t>
            </w:r>
          </w:p>
        </w:tc>
        <w:tc>
          <w:tcPr>
            <w:tcW w:w="1195" w:type="dxa"/>
            <w:gridSpan w:val="2"/>
          </w:tcPr>
          <w:p w14:paraId="6D9CCD5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24.51</w:t>
            </w:r>
          </w:p>
        </w:tc>
        <w:tc>
          <w:tcPr>
            <w:tcW w:w="1195" w:type="dxa"/>
            <w:gridSpan w:val="2"/>
          </w:tcPr>
          <w:p w14:paraId="337E8D9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27.01</w:t>
            </w:r>
          </w:p>
        </w:tc>
        <w:tc>
          <w:tcPr>
            <w:tcW w:w="1198" w:type="dxa"/>
          </w:tcPr>
          <w:p w14:paraId="190AFE5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4EBB18F4" w14:textId="77777777" w:rsidTr="00C07398">
        <w:trPr>
          <w:trHeight w:val="252"/>
          <w:jc w:val="center"/>
        </w:trPr>
        <w:tc>
          <w:tcPr>
            <w:tcW w:w="2097" w:type="dxa"/>
            <w:gridSpan w:val="2"/>
          </w:tcPr>
          <w:p w14:paraId="7BA808BB"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7863D80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9638C8A"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6B1357A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6017AE5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7880A7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90615F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984F74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D0E224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245B0F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6A2F64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8" w:type="dxa"/>
          </w:tcPr>
          <w:p w14:paraId="64CE05A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6D10F4F7" w14:textId="77777777" w:rsidTr="00C07398">
        <w:trPr>
          <w:trHeight w:val="252"/>
          <w:jc w:val="center"/>
        </w:trPr>
        <w:tc>
          <w:tcPr>
            <w:tcW w:w="2097" w:type="dxa"/>
            <w:gridSpan w:val="2"/>
          </w:tcPr>
          <w:p w14:paraId="7AB92134"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2B3BBC8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DBD666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60D8C6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60D10EB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F2F13A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C126B0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99FBDB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103DB96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AFD4B9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2492CFA"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8" w:type="dxa"/>
          </w:tcPr>
          <w:p w14:paraId="5C4F663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24129D06" w14:textId="77777777" w:rsidTr="00C07398">
        <w:trPr>
          <w:trHeight w:val="252"/>
          <w:jc w:val="center"/>
        </w:trPr>
        <w:tc>
          <w:tcPr>
            <w:tcW w:w="2097" w:type="dxa"/>
            <w:gridSpan w:val="2"/>
            <w:hideMark/>
          </w:tcPr>
          <w:p w14:paraId="3E928F48"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b/>
                <w:sz w:val="24"/>
                <w:szCs w:val="24"/>
              </w:rPr>
            </w:pPr>
            <w:r w:rsidRPr="0056789E">
              <w:rPr>
                <w:rFonts w:ascii="Times New Roman" w:hAnsi="Times New Roman"/>
                <w:b/>
                <w:sz w:val="24"/>
                <w:szCs w:val="24"/>
              </w:rPr>
              <w:t>Urban Sample</w:t>
            </w:r>
          </w:p>
        </w:tc>
        <w:tc>
          <w:tcPr>
            <w:tcW w:w="1195" w:type="dxa"/>
            <w:gridSpan w:val="2"/>
          </w:tcPr>
          <w:p w14:paraId="178F983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0.113***</w:t>
            </w:r>
          </w:p>
        </w:tc>
        <w:tc>
          <w:tcPr>
            <w:tcW w:w="1195" w:type="dxa"/>
            <w:gridSpan w:val="2"/>
            <w:hideMark/>
          </w:tcPr>
          <w:p w14:paraId="7ACE843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0.100***</w:t>
            </w:r>
          </w:p>
        </w:tc>
        <w:tc>
          <w:tcPr>
            <w:tcW w:w="1195" w:type="dxa"/>
            <w:gridSpan w:val="2"/>
            <w:hideMark/>
          </w:tcPr>
          <w:p w14:paraId="5FB3FC5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16E469E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53BF83A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0.110***</w:t>
            </w:r>
          </w:p>
        </w:tc>
        <w:tc>
          <w:tcPr>
            <w:tcW w:w="1195" w:type="dxa"/>
            <w:gridSpan w:val="2"/>
            <w:hideMark/>
          </w:tcPr>
          <w:p w14:paraId="752A9B7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7E9B49D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266BE79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0.130***</w:t>
            </w:r>
          </w:p>
        </w:tc>
        <w:tc>
          <w:tcPr>
            <w:tcW w:w="1195" w:type="dxa"/>
            <w:gridSpan w:val="2"/>
            <w:hideMark/>
          </w:tcPr>
          <w:p w14:paraId="14A1424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0.150***</w:t>
            </w:r>
          </w:p>
        </w:tc>
        <w:tc>
          <w:tcPr>
            <w:tcW w:w="1195" w:type="dxa"/>
            <w:gridSpan w:val="2"/>
            <w:hideMark/>
          </w:tcPr>
          <w:p w14:paraId="0978B29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0.100</w:t>
            </w:r>
          </w:p>
        </w:tc>
        <w:tc>
          <w:tcPr>
            <w:tcW w:w="1198" w:type="dxa"/>
            <w:hideMark/>
          </w:tcPr>
          <w:p w14:paraId="76688DB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124,501</w:t>
            </w:r>
          </w:p>
        </w:tc>
      </w:tr>
      <w:tr w:rsidR="00D94E55" w:rsidRPr="0056789E" w14:paraId="5912183F" w14:textId="77777777" w:rsidTr="00C07398">
        <w:trPr>
          <w:trHeight w:val="252"/>
          <w:jc w:val="center"/>
        </w:trPr>
        <w:tc>
          <w:tcPr>
            <w:tcW w:w="2097" w:type="dxa"/>
            <w:gridSpan w:val="2"/>
          </w:tcPr>
          <w:p w14:paraId="791EB157"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29863F5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(0.030)</w:t>
            </w:r>
          </w:p>
        </w:tc>
        <w:tc>
          <w:tcPr>
            <w:tcW w:w="1195" w:type="dxa"/>
            <w:gridSpan w:val="2"/>
            <w:hideMark/>
          </w:tcPr>
          <w:p w14:paraId="1E395D8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(0.034)</w:t>
            </w:r>
          </w:p>
        </w:tc>
        <w:tc>
          <w:tcPr>
            <w:tcW w:w="1195" w:type="dxa"/>
            <w:gridSpan w:val="2"/>
            <w:hideMark/>
          </w:tcPr>
          <w:p w14:paraId="19C4D05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(0.031)</w:t>
            </w:r>
          </w:p>
        </w:tc>
        <w:tc>
          <w:tcPr>
            <w:tcW w:w="1195" w:type="dxa"/>
            <w:gridSpan w:val="2"/>
            <w:hideMark/>
          </w:tcPr>
          <w:p w14:paraId="2E7A69F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(0.029)</w:t>
            </w:r>
          </w:p>
        </w:tc>
        <w:tc>
          <w:tcPr>
            <w:tcW w:w="1195" w:type="dxa"/>
            <w:gridSpan w:val="2"/>
            <w:hideMark/>
          </w:tcPr>
          <w:p w14:paraId="293FC49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(0.030)</w:t>
            </w:r>
          </w:p>
        </w:tc>
        <w:tc>
          <w:tcPr>
            <w:tcW w:w="1195" w:type="dxa"/>
            <w:gridSpan w:val="2"/>
            <w:hideMark/>
          </w:tcPr>
          <w:p w14:paraId="0E6637A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(0.033)</w:t>
            </w:r>
          </w:p>
        </w:tc>
        <w:tc>
          <w:tcPr>
            <w:tcW w:w="1195" w:type="dxa"/>
            <w:gridSpan w:val="2"/>
            <w:hideMark/>
          </w:tcPr>
          <w:p w14:paraId="027247E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(0.035)</w:t>
            </w:r>
          </w:p>
        </w:tc>
        <w:tc>
          <w:tcPr>
            <w:tcW w:w="1195" w:type="dxa"/>
            <w:gridSpan w:val="2"/>
            <w:hideMark/>
          </w:tcPr>
          <w:p w14:paraId="753E40C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(0.039)</w:t>
            </w:r>
          </w:p>
        </w:tc>
        <w:tc>
          <w:tcPr>
            <w:tcW w:w="1195" w:type="dxa"/>
            <w:gridSpan w:val="2"/>
            <w:hideMark/>
          </w:tcPr>
          <w:p w14:paraId="704767B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(0.046)</w:t>
            </w:r>
          </w:p>
        </w:tc>
        <w:tc>
          <w:tcPr>
            <w:tcW w:w="1195" w:type="dxa"/>
            <w:gridSpan w:val="2"/>
            <w:hideMark/>
          </w:tcPr>
          <w:p w14:paraId="7E63819E"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(0.062)</w:t>
            </w:r>
          </w:p>
        </w:tc>
        <w:tc>
          <w:tcPr>
            <w:tcW w:w="1198" w:type="dxa"/>
          </w:tcPr>
          <w:p w14:paraId="4A70810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49760624" w14:textId="77777777" w:rsidTr="00C07398">
        <w:trPr>
          <w:trHeight w:val="252"/>
          <w:jc w:val="center"/>
        </w:trPr>
        <w:tc>
          <w:tcPr>
            <w:tcW w:w="2097" w:type="dxa"/>
            <w:gridSpan w:val="2"/>
          </w:tcPr>
          <w:p w14:paraId="2638FFA8"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r w:rsidRPr="0056789E">
              <w:rPr>
                <w:rFonts w:ascii="Times New Roman" w:hAnsi="Times New Roman"/>
                <w:sz w:val="24"/>
                <w:szCs w:val="24"/>
              </w:rPr>
              <w:t>Corresponding BMI</w:t>
            </w:r>
          </w:p>
        </w:tc>
        <w:tc>
          <w:tcPr>
            <w:tcW w:w="1195" w:type="dxa"/>
            <w:gridSpan w:val="2"/>
          </w:tcPr>
          <w:p w14:paraId="73B4908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11A0D6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17.64</w:t>
            </w:r>
          </w:p>
        </w:tc>
        <w:tc>
          <w:tcPr>
            <w:tcW w:w="1195" w:type="dxa"/>
            <w:gridSpan w:val="2"/>
          </w:tcPr>
          <w:p w14:paraId="0F80C0E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19.06</w:t>
            </w:r>
          </w:p>
        </w:tc>
        <w:tc>
          <w:tcPr>
            <w:tcW w:w="1195" w:type="dxa"/>
            <w:gridSpan w:val="2"/>
          </w:tcPr>
          <w:p w14:paraId="5975E07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20.22</w:t>
            </w:r>
          </w:p>
        </w:tc>
        <w:tc>
          <w:tcPr>
            <w:tcW w:w="1195" w:type="dxa"/>
            <w:gridSpan w:val="2"/>
          </w:tcPr>
          <w:p w14:paraId="1A323BE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21.28</w:t>
            </w:r>
          </w:p>
        </w:tc>
        <w:tc>
          <w:tcPr>
            <w:tcW w:w="1195" w:type="dxa"/>
            <w:gridSpan w:val="2"/>
          </w:tcPr>
          <w:p w14:paraId="14310FF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22.3</w:t>
            </w:r>
          </w:p>
        </w:tc>
        <w:tc>
          <w:tcPr>
            <w:tcW w:w="1195" w:type="dxa"/>
            <w:gridSpan w:val="2"/>
          </w:tcPr>
          <w:p w14:paraId="393E6B0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23.44</w:t>
            </w:r>
          </w:p>
        </w:tc>
        <w:tc>
          <w:tcPr>
            <w:tcW w:w="1195" w:type="dxa"/>
            <w:gridSpan w:val="2"/>
          </w:tcPr>
          <w:p w14:paraId="2A9C750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24.79</w:t>
            </w:r>
          </w:p>
        </w:tc>
        <w:tc>
          <w:tcPr>
            <w:tcW w:w="1195" w:type="dxa"/>
            <w:gridSpan w:val="2"/>
          </w:tcPr>
          <w:p w14:paraId="4F439CE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26.55</w:t>
            </w:r>
          </w:p>
        </w:tc>
        <w:tc>
          <w:tcPr>
            <w:tcW w:w="1195" w:type="dxa"/>
            <w:gridSpan w:val="2"/>
          </w:tcPr>
          <w:p w14:paraId="6FE7760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29.19</w:t>
            </w:r>
          </w:p>
        </w:tc>
        <w:tc>
          <w:tcPr>
            <w:tcW w:w="1198" w:type="dxa"/>
          </w:tcPr>
          <w:p w14:paraId="1DA7CD2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38424059" w14:textId="77777777" w:rsidTr="00C07398">
        <w:trPr>
          <w:trHeight w:val="252"/>
          <w:jc w:val="center"/>
        </w:trPr>
        <w:tc>
          <w:tcPr>
            <w:tcW w:w="2097" w:type="dxa"/>
            <w:gridSpan w:val="2"/>
          </w:tcPr>
          <w:p w14:paraId="4FD67D07"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7287493C"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B117EE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93D4FC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02AA7E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3F778F9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68CCBC2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115AAFE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F1C2B2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6B0745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4A6D4E5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8" w:type="dxa"/>
          </w:tcPr>
          <w:p w14:paraId="5E63DDD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7101469A" w14:textId="77777777" w:rsidTr="00C07398">
        <w:trPr>
          <w:trHeight w:val="252"/>
          <w:jc w:val="center"/>
        </w:trPr>
        <w:tc>
          <w:tcPr>
            <w:tcW w:w="2097" w:type="dxa"/>
            <w:gridSpan w:val="2"/>
          </w:tcPr>
          <w:p w14:paraId="60AB557F"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27FBC7B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128DA5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174D444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A41174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E261E8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176EC1B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F09FAB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0CE4470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2C84A2E4"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7769E12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8" w:type="dxa"/>
          </w:tcPr>
          <w:p w14:paraId="33EEF38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0ED4E8AB" w14:textId="77777777" w:rsidTr="00C07398">
        <w:trPr>
          <w:trHeight w:val="252"/>
          <w:jc w:val="center"/>
        </w:trPr>
        <w:tc>
          <w:tcPr>
            <w:tcW w:w="2097" w:type="dxa"/>
            <w:gridSpan w:val="2"/>
            <w:hideMark/>
          </w:tcPr>
          <w:p w14:paraId="58FE6380"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b/>
                <w:sz w:val="24"/>
                <w:szCs w:val="24"/>
              </w:rPr>
            </w:pPr>
            <w:r w:rsidRPr="0056789E">
              <w:rPr>
                <w:rFonts w:ascii="Times New Roman" w:hAnsi="Times New Roman"/>
                <w:b/>
                <w:sz w:val="24"/>
                <w:szCs w:val="24"/>
              </w:rPr>
              <w:t>Rural Sample</w:t>
            </w:r>
          </w:p>
        </w:tc>
        <w:tc>
          <w:tcPr>
            <w:tcW w:w="1195" w:type="dxa"/>
            <w:gridSpan w:val="2"/>
          </w:tcPr>
          <w:p w14:paraId="323C128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0.100***</w:t>
            </w:r>
          </w:p>
        </w:tc>
        <w:tc>
          <w:tcPr>
            <w:tcW w:w="1195" w:type="dxa"/>
            <w:gridSpan w:val="2"/>
            <w:hideMark/>
          </w:tcPr>
          <w:p w14:paraId="459F5D2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0.050***</w:t>
            </w:r>
          </w:p>
        </w:tc>
        <w:tc>
          <w:tcPr>
            <w:tcW w:w="1195" w:type="dxa"/>
            <w:gridSpan w:val="2"/>
            <w:hideMark/>
          </w:tcPr>
          <w:p w14:paraId="0DC6273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0.060***</w:t>
            </w:r>
          </w:p>
        </w:tc>
        <w:tc>
          <w:tcPr>
            <w:tcW w:w="1195" w:type="dxa"/>
            <w:gridSpan w:val="2"/>
            <w:hideMark/>
          </w:tcPr>
          <w:p w14:paraId="05DA643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0.090***</w:t>
            </w:r>
          </w:p>
        </w:tc>
        <w:tc>
          <w:tcPr>
            <w:tcW w:w="1195" w:type="dxa"/>
            <w:gridSpan w:val="2"/>
            <w:hideMark/>
          </w:tcPr>
          <w:p w14:paraId="2643243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0.100***</w:t>
            </w:r>
          </w:p>
        </w:tc>
        <w:tc>
          <w:tcPr>
            <w:tcW w:w="1195" w:type="dxa"/>
            <w:gridSpan w:val="2"/>
            <w:hideMark/>
          </w:tcPr>
          <w:p w14:paraId="78D0249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6418CF4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0.120***</w:t>
            </w:r>
          </w:p>
        </w:tc>
        <w:tc>
          <w:tcPr>
            <w:tcW w:w="1195" w:type="dxa"/>
            <w:gridSpan w:val="2"/>
            <w:hideMark/>
          </w:tcPr>
          <w:p w14:paraId="26D4E4E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0.150***</w:t>
            </w:r>
          </w:p>
        </w:tc>
        <w:tc>
          <w:tcPr>
            <w:tcW w:w="1195" w:type="dxa"/>
            <w:gridSpan w:val="2"/>
            <w:hideMark/>
          </w:tcPr>
          <w:p w14:paraId="505F6E41"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0.160***</w:t>
            </w:r>
          </w:p>
        </w:tc>
        <w:tc>
          <w:tcPr>
            <w:tcW w:w="1195" w:type="dxa"/>
            <w:gridSpan w:val="2"/>
            <w:hideMark/>
          </w:tcPr>
          <w:p w14:paraId="78158DC0"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0.150***</w:t>
            </w:r>
          </w:p>
        </w:tc>
        <w:tc>
          <w:tcPr>
            <w:tcW w:w="1198" w:type="dxa"/>
            <w:hideMark/>
          </w:tcPr>
          <w:p w14:paraId="6DEBEC4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316,011</w:t>
            </w:r>
          </w:p>
        </w:tc>
      </w:tr>
      <w:tr w:rsidR="00D94E55" w:rsidRPr="0056789E" w14:paraId="54EE4703" w14:textId="77777777" w:rsidTr="00C07398">
        <w:trPr>
          <w:trHeight w:val="252"/>
          <w:jc w:val="center"/>
        </w:trPr>
        <w:tc>
          <w:tcPr>
            <w:tcW w:w="2097" w:type="dxa"/>
            <w:gridSpan w:val="2"/>
          </w:tcPr>
          <w:p w14:paraId="18EE9F7F"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Pr>
          <w:p w14:paraId="1569878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(0.017)</w:t>
            </w:r>
          </w:p>
        </w:tc>
        <w:tc>
          <w:tcPr>
            <w:tcW w:w="1195" w:type="dxa"/>
            <w:gridSpan w:val="2"/>
            <w:hideMark/>
          </w:tcPr>
          <w:p w14:paraId="0C812F5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53011822"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(0.015)</w:t>
            </w:r>
          </w:p>
        </w:tc>
        <w:tc>
          <w:tcPr>
            <w:tcW w:w="1195" w:type="dxa"/>
            <w:gridSpan w:val="2"/>
            <w:hideMark/>
          </w:tcPr>
          <w:p w14:paraId="6C07A4CB"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(0.016)</w:t>
            </w:r>
          </w:p>
        </w:tc>
        <w:tc>
          <w:tcPr>
            <w:tcW w:w="1195" w:type="dxa"/>
            <w:gridSpan w:val="2"/>
            <w:hideMark/>
          </w:tcPr>
          <w:p w14:paraId="7C49F4C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(0.016)</w:t>
            </w:r>
          </w:p>
        </w:tc>
        <w:tc>
          <w:tcPr>
            <w:tcW w:w="1195" w:type="dxa"/>
            <w:gridSpan w:val="2"/>
            <w:hideMark/>
          </w:tcPr>
          <w:p w14:paraId="3C40925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(0.017)</w:t>
            </w:r>
          </w:p>
        </w:tc>
        <w:tc>
          <w:tcPr>
            <w:tcW w:w="1195" w:type="dxa"/>
            <w:gridSpan w:val="2"/>
            <w:hideMark/>
          </w:tcPr>
          <w:p w14:paraId="143C07C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(0.017)</w:t>
            </w:r>
          </w:p>
        </w:tc>
        <w:tc>
          <w:tcPr>
            <w:tcW w:w="1195" w:type="dxa"/>
            <w:gridSpan w:val="2"/>
            <w:hideMark/>
          </w:tcPr>
          <w:p w14:paraId="5E0318C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(0.022)</w:t>
            </w:r>
          </w:p>
        </w:tc>
        <w:tc>
          <w:tcPr>
            <w:tcW w:w="1195" w:type="dxa"/>
            <w:gridSpan w:val="2"/>
            <w:hideMark/>
          </w:tcPr>
          <w:p w14:paraId="37DAB967"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(0.025)</w:t>
            </w:r>
          </w:p>
        </w:tc>
        <w:tc>
          <w:tcPr>
            <w:tcW w:w="1195" w:type="dxa"/>
            <w:gridSpan w:val="2"/>
            <w:hideMark/>
          </w:tcPr>
          <w:p w14:paraId="5D076AD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r w:rsidRPr="0056789E">
              <w:rPr>
                <w:rFonts w:ascii="Times New Roman" w:hAnsi="Times New Roman" w:cs="Times New Roman"/>
                <w:sz w:val="24"/>
                <w:szCs w:val="24"/>
              </w:rPr>
              <w:t>(0.034)</w:t>
            </w:r>
          </w:p>
        </w:tc>
        <w:tc>
          <w:tcPr>
            <w:tcW w:w="1198" w:type="dxa"/>
          </w:tcPr>
          <w:p w14:paraId="009AFD26"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55CBD749" w14:textId="77777777" w:rsidTr="00C07398">
        <w:trPr>
          <w:trHeight w:val="252"/>
          <w:jc w:val="center"/>
        </w:trPr>
        <w:tc>
          <w:tcPr>
            <w:tcW w:w="2097" w:type="dxa"/>
            <w:gridSpan w:val="2"/>
          </w:tcPr>
          <w:p w14:paraId="54271E5F"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r w:rsidRPr="0056789E">
              <w:rPr>
                <w:rFonts w:ascii="Times New Roman" w:hAnsi="Times New Roman"/>
                <w:sz w:val="24"/>
                <w:szCs w:val="24"/>
              </w:rPr>
              <w:t>Corresponding BMI</w:t>
            </w:r>
          </w:p>
        </w:tc>
        <w:tc>
          <w:tcPr>
            <w:tcW w:w="1195" w:type="dxa"/>
            <w:gridSpan w:val="2"/>
          </w:tcPr>
          <w:p w14:paraId="7BC51779"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1195" w:type="dxa"/>
            <w:gridSpan w:val="2"/>
          </w:tcPr>
          <w:p w14:paraId="53226B8D"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16.98</w:t>
            </w:r>
          </w:p>
        </w:tc>
        <w:tc>
          <w:tcPr>
            <w:tcW w:w="1195" w:type="dxa"/>
            <w:gridSpan w:val="2"/>
          </w:tcPr>
          <w:p w14:paraId="6A84DDF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18.04</w:t>
            </w:r>
          </w:p>
        </w:tc>
        <w:tc>
          <w:tcPr>
            <w:tcW w:w="1195" w:type="dxa"/>
            <w:gridSpan w:val="2"/>
          </w:tcPr>
          <w:p w14:paraId="0643E2C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18.91</w:t>
            </w:r>
          </w:p>
        </w:tc>
        <w:tc>
          <w:tcPr>
            <w:tcW w:w="1195" w:type="dxa"/>
            <w:gridSpan w:val="2"/>
          </w:tcPr>
          <w:p w14:paraId="755F15BF"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19.74</w:t>
            </w:r>
          </w:p>
        </w:tc>
        <w:tc>
          <w:tcPr>
            <w:tcW w:w="1195" w:type="dxa"/>
            <w:gridSpan w:val="2"/>
          </w:tcPr>
          <w:p w14:paraId="5BD2487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20.59</w:t>
            </w:r>
          </w:p>
        </w:tc>
        <w:tc>
          <w:tcPr>
            <w:tcW w:w="1195" w:type="dxa"/>
            <w:gridSpan w:val="2"/>
          </w:tcPr>
          <w:p w14:paraId="2D3284F3"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21.48</w:t>
            </w:r>
          </w:p>
        </w:tc>
        <w:tc>
          <w:tcPr>
            <w:tcW w:w="1195" w:type="dxa"/>
            <w:gridSpan w:val="2"/>
          </w:tcPr>
          <w:p w14:paraId="06232CF5"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22.51</w:t>
            </w:r>
          </w:p>
        </w:tc>
        <w:tc>
          <w:tcPr>
            <w:tcW w:w="1195" w:type="dxa"/>
            <w:gridSpan w:val="2"/>
          </w:tcPr>
          <w:p w14:paraId="0E805BD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23.89</w:t>
            </w:r>
          </w:p>
        </w:tc>
        <w:tc>
          <w:tcPr>
            <w:tcW w:w="1195" w:type="dxa"/>
            <w:gridSpan w:val="2"/>
          </w:tcPr>
          <w:p w14:paraId="6D5020B8"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cs="Times New Roman"/>
                <w:sz w:val="24"/>
                <w:szCs w:val="24"/>
              </w:rPr>
            </w:pPr>
            <w:r w:rsidRPr="0056789E">
              <w:rPr>
                <w:rFonts w:ascii="Times New Roman" w:hAnsi="Times New Roman" w:cs="Times New Roman"/>
                <w:sz w:val="24"/>
                <w:szCs w:val="24"/>
              </w:rPr>
              <w:t>26.17</w:t>
            </w:r>
          </w:p>
        </w:tc>
        <w:tc>
          <w:tcPr>
            <w:tcW w:w="1198" w:type="dxa"/>
          </w:tcPr>
          <w:p w14:paraId="360415FA" w14:textId="77777777" w:rsidR="00D94E55" w:rsidRPr="0056789E" w:rsidRDefault="00D94E55" w:rsidP="0078010B">
            <w:pPr>
              <w:widowControl w:val="0"/>
              <w:autoSpaceDE w:val="0"/>
              <w:autoSpaceDN w:val="0"/>
              <w:adjustRightInd w:val="0"/>
              <w:spacing w:after="0" w:line="276" w:lineRule="auto"/>
              <w:jc w:val="center"/>
              <w:rPr>
                <w:rFonts w:ascii="Times New Roman" w:hAnsi="Times New Roman"/>
                <w:sz w:val="24"/>
                <w:szCs w:val="24"/>
              </w:rPr>
            </w:pPr>
          </w:p>
        </w:tc>
      </w:tr>
      <w:tr w:rsidR="00D94E55" w:rsidRPr="0056789E" w14:paraId="31D9B5D0" w14:textId="77777777" w:rsidTr="00C07398">
        <w:trPr>
          <w:trHeight w:val="60"/>
          <w:jc w:val="center"/>
        </w:trPr>
        <w:tc>
          <w:tcPr>
            <w:tcW w:w="2097" w:type="dxa"/>
            <w:gridSpan w:val="2"/>
            <w:tcBorders>
              <w:top w:val="nil"/>
              <w:left w:val="nil"/>
              <w:bottom w:val="single" w:sz="4" w:space="0" w:color="auto"/>
              <w:right w:val="nil"/>
            </w:tcBorders>
          </w:tcPr>
          <w:p w14:paraId="080EDF98"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3DA4760D"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6951B486"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7E8776C8"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2DE4CB65"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3D5BBB88"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03362215"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4EC632A8"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24922543"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15AC37BC"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5" w:type="dxa"/>
            <w:gridSpan w:val="2"/>
            <w:tcBorders>
              <w:top w:val="nil"/>
              <w:left w:val="nil"/>
              <w:bottom w:val="single" w:sz="4" w:space="0" w:color="auto"/>
              <w:right w:val="nil"/>
            </w:tcBorders>
          </w:tcPr>
          <w:p w14:paraId="0AE2EA36"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c>
          <w:tcPr>
            <w:tcW w:w="1198" w:type="dxa"/>
            <w:tcBorders>
              <w:top w:val="nil"/>
              <w:left w:val="nil"/>
              <w:bottom w:val="single" w:sz="4" w:space="0" w:color="auto"/>
              <w:right w:val="nil"/>
            </w:tcBorders>
          </w:tcPr>
          <w:p w14:paraId="3E3FD4F6" w14:textId="77777777" w:rsidR="00D94E55" w:rsidRPr="0056789E" w:rsidRDefault="00D94E55" w:rsidP="0078010B">
            <w:pPr>
              <w:widowControl w:val="0"/>
              <w:autoSpaceDE w:val="0"/>
              <w:autoSpaceDN w:val="0"/>
              <w:adjustRightInd w:val="0"/>
              <w:spacing w:after="0" w:line="276" w:lineRule="auto"/>
              <w:jc w:val="both"/>
              <w:rPr>
                <w:rFonts w:ascii="Times New Roman" w:hAnsi="Times New Roman"/>
                <w:sz w:val="24"/>
                <w:szCs w:val="24"/>
              </w:rPr>
            </w:pPr>
          </w:p>
        </w:tc>
      </w:tr>
    </w:tbl>
    <w:p w14:paraId="0820BB3E" w14:textId="77777777" w:rsidR="007731F6" w:rsidRDefault="00D94E55" w:rsidP="00414616">
      <w:pPr>
        <w:spacing w:after="0" w:line="276" w:lineRule="auto"/>
        <w:jc w:val="center"/>
        <w:rPr>
          <w:rFonts w:ascii="Times New Roman" w:hAnsi="Times New Roman" w:cs="Times New Roman"/>
        </w:rPr>
      </w:pPr>
      <w:r>
        <w:rPr>
          <w:rFonts w:ascii="Times New Roman" w:hAnsi="Times New Roman" w:cs="Times New Roman"/>
        </w:rPr>
        <w:t>Note: Each cell is a regression coefficient of the impact of the first child’s sex (</w:t>
      </w:r>
      <w:r w:rsidR="00B1705B">
        <w:rPr>
          <w:rFonts w:ascii="Times New Roman" w:hAnsi="Times New Roman" w:cs="Times New Roman"/>
        </w:rPr>
        <w:t>1</w:t>
      </w:r>
      <w:r w:rsidR="005A00F7">
        <w:rPr>
          <w:rFonts w:ascii="Times New Roman" w:hAnsi="Times New Roman" w:cs="Times New Roman"/>
        </w:rPr>
        <w:t>=</w:t>
      </w:r>
      <w:r>
        <w:rPr>
          <w:rFonts w:ascii="Times New Roman" w:hAnsi="Times New Roman" w:cs="Times New Roman"/>
        </w:rPr>
        <w:t>male) on BMI. Standard errors are clustered at the primary sampling unit level and are shown in parentheses. *** p&lt;0.01, ** p&lt;0.05, * p&lt;0.1</w:t>
      </w:r>
    </w:p>
    <w:p w14:paraId="6ABBE25B" w14:textId="77777777" w:rsidR="009C3558" w:rsidRDefault="009C3558" w:rsidP="007731F6">
      <w:pPr>
        <w:spacing w:line="259" w:lineRule="auto"/>
        <w:rPr>
          <w:rFonts w:ascii="Times New Roman" w:hAnsi="Times New Roman" w:cs="Times New Roman"/>
        </w:rPr>
        <w:sectPr w:rsidR="009C3558">
          <w:pgSz w:w="16838" w:h="11906" w:orient="landscape"/>
          <w:pgMar w:top="1440" w:right="1440" w:bottom="1440" w:left="1440" w:header="709" w:footer="709" w:gutter="0"/>
          <w:cols w:space="720"/>
        </w:sectPr>
      </w:pPr>
    </w:p>
    <w:p w14:paraId="44E7BD09" w14:textId="77777777" w:rsidR="009C3558" w:rsidRDefault="009C3558" w:rsidP="009C3558">
      <w:pPr>
        <w:pStyle w:val="Caption"/>
        <w:keepNext/>
        <w:spacing w:line="276" w:lineRule="auto"/>
        <w:jc w:val="both"/>
        <w:rPr>
          <w:rFonts w:ascii="Times New Roman" w:hAnsi="Times New Roman" w:cs="Times New Roman"/>
          <w:b/>
          <w:i w:val="0"/>
          <w:color w:val="auto"/>
          <w:sz w:val="24"/>
        </w:rPr>
      </w:pPr>
      <w:r>
        <w:rPr>
          <w:rFonts w:ascii="Times New Roman" w:hAnsi="Times New Roman" w:cs="Times New Roman"/>
          <w:b/>
          <w:i w:val="0"/>
          <w:color w:val="auto"/>
          <w:sz w:val="24"/>
        </w:rPr>
        <w:lastRenderedPageBreak/>
        <w:t xml:space="preserve">Table </w:t>
      </w:r>
      <w:r>
        <w:rPr>
          <w:rFonts w:ascii="Times New Roman" w:hAnsi="Times New Roman" w:cs="Times New Roman"/>
          <w:b/>
          <w:i w:val="0"/>
          <w:color w:val="auto"/>
          <w:sz w:val="24"/>
        </w:rPr>
        <w:fldChar w:fldCharType="begin"/>
      </w:r>
      <w:r>
        <w:rPr>
          <w:rFonts w:ascii="Times New Roman" w:hAnsi="Times New Roman" w:cs="Times New Roman"/>
          <w:b/>
          <w:i w:val="0"/>
          <w:color w:val="auto"/>
          <w:sz w:val="24"/>
        </w:rPr>
        <w:instrText xml:space="preserve"> SEQ Table \* ARABIC </w:instrText>
      </w:r>
      <w:r>
        <w:rPr>
          <w:rFonts w:ascii="Times New Roman" w:hAnsi="Times New Roman" w:cs="Times New Roman"/>
          <w:b/>
          <w:i w:val="0"/>
          <w:color w:val="auto"/>
          <w:sz w:val="24"/>
        </w:rPr>
        <w:fldChar w:fldCharType="separate"/>
      </w:r>
      <w:r w:rsidR="00C004AA">
        <w:rPr>
          <w:rFonts w:ascii="Times New Roman" w:hAnsi="Times New Roman" w:cs="Times New Roman"/>
          <w:b/>
          <w:i w:val="0"/>
          <w:noProof/>
          <w:color w:val="auto"/>
          <w:sz w:val="24"/>
        </w:rPr>
        <w:t>2</w:t>
      </w:r>
      <w:r>
        <w:rPr>
          <w:rFonts w:ascii="Times New Roman" w:hAnsi="Times New Roman" w:cs="Times New Roman"/>
          <w:b/>
          <w:i w:val="0"/>
          <w:color w:val="auto"/>
          <w:sz w:val="24"/>
        </w:rPr>
        <w:fldChar w:fldCharType="end"/>
      </w:r>
      <w:r>
        <w:rPr>
          <w:rFonts w:ascii="Times New Roman" w:hAnsi="Times New Roman" w:cs="Times New Roman"/>
          <w:b/>
          <w:i w:val="0"/>
          <w:color w:val="auto"/>
          <w:sz w:val="24"/>
        </w:rPr>
        <w:t>: Relationship between bahu's rank and BMI in joint families</w:t>
      </w:r>
    </w:p>
    <w:tbl>
      <w:tblPr>
        <w:tblW w:w="9045" w:type="dxa"/>
        <w:jc w:val="center"/>
        <w:tblLayout w:type="fixed"/>
        <w:tblCellMar>
          <w:left w:w="75" w:type="dxa"/>
          <w:right w:w="75" w:type="dxa"/>
        </w:tblCellMar>
        <w:tblLook w:val="04A0" w:firstRow="1" w:lastRow="0" w:firstColumn="1" w:lastColumn="0" w:noHBand="0" w:noVBand="1"/>
      </w:tblPr>
      <w:tblGrid>
        <w:gridCol w:w="3087"/>
        <w:gridCol w:w="1986"/>
        <w:gridCol w:w="1986"/>
        <w:gridCol w:w="1986"/>
      </w:tblGrid>
      <w:tr w:rsidR="009C3558" w14:paraId="243A9751" w14:textId="77777777" w:rsidTr="0078010B">
        <w:trPr>
          <w:trHeight w:val="267"/>
          <w:jc w:val="center"/>
        </w:trPr>
        <w:tc>
          <w:tcPr>
            <w:tcW w:w="3088" w:type="dxa"/>
            <w:tcBorders>
              <w:top w:val="single" w:sz="6" w:space="0" w:color="auto"/>
              <w:left w:val="nil"/>
              <w:bottom w:val="nil"/>
              <w:right w:val="nil"/>
            </w:tcBorders>
          </w:tcPr>
          <w:p w14:paraId="094BE567"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p>
        </w:tc>
        <w:tc>
          <w:tcPr>
            <w:tcW w:w="1988" w:type="dxa"/>
            <w:tcBorders>
              <w:top w:val="single" w:sz="6" w:space="0" w:color="auto"/>
              <w:left w:val="nil"/>
              <w:bottom w:val="nil"/>
              <w:right w:val="nil"/>
            </w:tcBorders>
            <w:hideMark/>
          </w:tcPr>
          <w:p w14:paraId="3FAC5FCF"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w:t>
            </w:r>
          </w:p>
        </w:tc>
        <w:tc>
          <w:tcPr>
            <w:tcW w:w="1988" w:type="dxa"/>
            <w:tcBorders>
              <w:top w:val="single" w:sz="6" w:space="0" w:color="auto"/>
              <w:left w:val="nil"/>
              <w:bottom w:val="nil"/>
              <w:right w:val="nil"/>
            </w:tcBorders>
            <w:hideMark/>
          </w:tcPr>
          <w:p w14:paraId="52E4554D"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w:t>
            </w:r>
          </w:p>
        </w:tc>
        <w:tc>
          <w:tcPr>
            <w:tcW w:w="1988" w:type="dxa"/>
            <w:tcBorders>
              <w:top w:val="single" w:sz="6" w:space="0" w:color="auto"/>
              <w:left w:val="nil"/>
              <w:bottom w:val="nil"/>
              <w:right w:val="nil"/>
            </w:tcBorders>
            <w:hideMark/>
          </w:tcPr>
          <w:p w14:paraId="1CA9414B"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(3)</w:t>
            </w:r>
          </w:p>
        </w:tc>
      </w:tr>
      <w:tr w:rsidR="009C3558" w14:paraId="55CDC322" w14:textId="77777777" w:rsidTr="0078010B">
        <w:trPr>
          <w:trHeight w:val="267"/>
          <w:jc w:val="center"/>
        </w:trPr>
        <w:tc>
          <w:tcPr>
            <w:tcW w:w="3088" w:type="dxa"/>
            <w:tcBorders>
              <w:top w:val="nil"/>
              <w:left w:val="nil"/>
              <w:bottom w:val="single" w:sz="6" w:space="0" w:color="auto"/>
              <w:right w:val="nil"/>
            </w:tcBorders>
            <w:hideMark/>
          </w:tcPr>
          <w:p w14:paraId="76CBB352"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Variables</w:t>
            </w:r>
          </w:p>
        </w:tc>
        <w:tc>
          <w:tcPr>
            <w:tcW w:w="1988" w:type="dxa"/>
            <w:tcBorders>
              <w:top w:val="nil"/>
              <w:left w:val="nil"/>
              <w:bottom w:val="single" w:sz="6" w:space="0" w:color="auto"/>
              <w:right w:val="nil"/>
            </w:tcBorders>
            <w:hideMark/>
          </w:tcPr>
          <w:p w14:paraId="7FAB5A21"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Full sample</w:t>
            </w:r>
          </w:p>
        </w:tc>
        <w:tc>
          <w:tcPr>
            <w:tcW w:w="1988" w:type="dxa"/>
            <w:tcBorders>
              <w:top w:val="nil"/>
              <w:left w:val="nil"/>
              <w:bottom w:val="single" w:sz="6" w:space="0" w:color="auto"/>
              <w:right w:val="nil"/>
            </w:tcBorders>
            <w:hideMark/>
          </w:tcPr>
          <w:p w14:paraId="6BADA23D"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Urban</w:t>
            </w:r>
          </w:p>
        </w:tc>
        <w:tc>
          <w:tcPr>
            <w:tcW w:w="1988" w:type="dxa"/>
            <w:tcBorders>
              <w:top w:val="nil"/>
              <w:left w:val="nil"/>
              <w:bottom w:val="single" w:sz="6" w:space="0" w:color="auto"/>
              <w:right w:val="nil"/>
            </w:tcBorders>
            <w:hideMark/>
          </w:tcPr>
          <w:p w14:paraId="7F3600E8"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Rural</w:t>
            </w:r>
          </w:p>
        </w:tc>
      </w:tr>
      <w:tr w:rsidR="009C3558" w14:paraId="60DE0EDA" w14:textId="77777777" w:rsidTr="0078010B">
        <w:trPr>
          <w:trHeight w:val="267"/>
          <w:jc w:val="center"/>
        </w:trPr>
        <w:tc>
          <w:tcPr>
            <w:tcW w:w="3088" w:type="dxa"/>
          </w:tcPr>
          <w:p w14:paraId="51C3DD1F"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p>
        </w:tc>
        <w:tc>
          <w:tcPr>
            <w:tcW w:w="1988" w:type="dxa"/>
          </w:tcPr>
          <w:p w14:paraId="6206CC12"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p>
        </w:tc>
        <w:tc>
          <w:tcPr>
            <w:tcW w:w="1988" w:type="dxa"/>
          </w:tcPr>
          <w:p w14:paraId="39CFB843"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p>
        </w:tc>
        <w:tc>
          <w:tcPr>
            <w:tcW w:w="1988" w:type="dxa"/>
          </w:tcPr>
          <w:p w14:paraId="70DCC77E"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p>
        </w:tc>
      </w:tr>
      <w:tr w:rsidR="009C3558" w14:paraId="160AF76F" w14:textId="77777777" w:rsidTr="0078010B">
        <w:trPr>
          <w:trHeight w:val="248"/>
          <w:jc w:val="center"/>
        </w:trPr>
        <w:tc>
          <w:tcPr>
            <w:tcW w:w="3088" w:type="dxa"/>
            <w:hideMark/>
          </w:tcPr>
          <w:p w14:paraId="41ECB88E" w14:textId="77777777" w:rsidR="009C3558" w:rsidRDefault="009C3558" w:rsidP="0078010B">
            <w:pPr>
              <w:widowControl w:val="0"/>
              <w:autoSpaceDE w:val="0"/>
              <w:autoSpaceDN w:val="0"/>
              <w:adjustRightInd w:val="0"/>
              <w:spacing w:after="0" w:line="276" w:lineRule="auto"/>
              <w:jc w:val="both"/>
              <w:rPr>
                <w:rFonts w:ascii="Times New Roman" w:hAnsi="Times New Roman"/>
                <w:i/>
                <w:sz w:val="24"/>
                <w:szCs w:val="24"/>
              </w:rPr>
            </w:pPr>
            <w:proofErr w:type="spellStart"/>
            <w:r>
              <w:rPr>
                <w:rFonts w:ascii="Times New Roman" w:hAnsi="Times New Roman"/>
                <w:i/>
                <w:sz w:val="24"/>
                <w:szCs w:val="24"/>
              </w:rPr>
              <w:t>Chhoti</w:t>
            </w:r>
            <w:proofErr w:type="spellEnd"/>
            <w:r>
              <w:rPr>
                <w:rFonts w:ascii="Times New Roman" w:hAnsi="Times New Roman"/>
                <w:i/>
                <w:sz w:val="24"/>
                <w:szCs w:val="24"/>
              </w:rPr>
              <w:t>-bahu</w:t>
            </w:r>
          </w:p>
        </w:tc>
        <w:tc>
          <w:tcPr>
            <w:tcW w:w="1988" w:type="dxa"/>
            <w:hideMark/>
          </w:tcPr>
          <w:p w14:paraId="317106FD"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-0.569*</w:t>
            </w:r>
          </w:p>
        </w:tc>
        <w:tc>
          <w:tcPr>
            <w:tcW w:w="1988" w:type="dxa"/>
            <w:hideMark/>
          </w:tcPr>
          <w:p w14:paraId="5825E4DC"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-0.102</w:t>
            </w:r>
          </w:p>
        </w:tc>
        <w:tc>
          <w:tcPr>
            <w:tcW w:w="1988" w:type="dxa"/>
            <w:hideMark/>
          </w:tcPr>
          <w:p w14:paraId="40C9BAAB"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-0.707*</w:t>
            </w:r>
          </w:p>
        </w:tc>
      </w:tr>
      <w:tr w:rsidR="009C3558" w14:paraId="7C24D31F" w14:textId="77777777" w:rsidTr="0078010B">
        <w:trPr>
          <w:trHeight w:val="267"/>
          <w:jc w:val="center"/>
        </w:trPr>
        <w:tc>
          <w:tcPr>
            <w:tcW w:w="3088" w:type="dxa"/>
          </w:tcPr>
          <w:p w14:paraId="3DC3117A"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p>
        </w:tc>
        <w:tc>
          <w:tcPr>
            <w:tcW w:w="1988" w:type="dxa"/>
            <w:hideMark/>
          </w:tcPr>
          <w:p w14:paraId="7F8238FA"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(0.313)</w:t>
            </w:r>
          </w:p>
        </w:tc>
        <w:tc>
          <w:tcPr>
            <w:tcW w:w="1988" w:type="dxa"/>
            <w:hideMark/>
          </w:tcPr>
          <w:p w14:paraId="41D0CFD9"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(0.508)</w:t>
            </w:r>
          </w:p>
        </w:tc>
        <w:tc>
          <w:tcPr>
            <w:tcW w:w="1988" w:type="dxa"/>
            <w:hideMark/>
          </w:tcPr>
          <w:p w14:paraId="02C28995"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(0.384)</w:t>
            </w:r>
          </w:p>
        </w:tc>
      </w:tr>
      <w:tr w:rsidR="009C3558" w14:paraId="4D4E1F9C" w14:textId="77777777" w:rsidTr="0078010B">
        <w:trPr>
          <w:trHeight w:val="267"/>
          <w:jc w:val="center"/>
        </w:trPr>
        <w:tc>
          <w:tcPr>
            <w:tcW w:w="3088" w:type="dxa"/>
            <w:hideMark/>
          </w:tcPr>
          <w:p w14:paraId="2BC43CBC"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Age</w:t>
            </w:r>
          </w:p>
        </w:tc>
        <w:tc>
          <w:tcPr>
            <w:tcW w:w="1988" w:type="dxa"/>
            <w:hideMark/>
          </w:tcPr>
          <w:p w14:paraId="225AB511"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-0.290</w:t>
            </w:r>
          </w:p>
        </w:tc>
        <w:tc>
          <w:tcPr>
            <w:tcW w:w="1988" w:type="dxa"/>
            <w:hideMark/>
          </w:tcPr>
          <w:p w14:paraId="0CE10C92"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0.173</w:t>
            </w:r>
          </w:p>
        </w:tc>
        <w:tc>
          <w:tcPr>
            <w:tcW w:w="1988" w:type="dxa"/>
            <w:hideMark/>
          </w:tcPr>
          <w:p w14:paraId="30ABE3C7"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-0.350</w:t>
            </w:r>
          </w:p>
        </w:tc>
      </w:tr>
      <w:tr w:rsidR="009C3558" w14:paraId="08D52AE2" w14:textId="77777777" w:rsidTr="0078010B">
        <w:trPr>
          <w:trHeight w:val="267"/>
          <w:jc w:val="center"/>
        </w:trPr>
        <w:tc>
          <w:tcPr>
            <w:tcW w:w="3088" w:type="dxa"/>
          </w:tcPr>
          <w:p w14:paraId="491F871A"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p>
        </w:tc>
        <w:tc>
          <w:tcPr>
            <w:tcW w:w="1988" w:type="dxa"/>
            <w:hideMark/>
          </w:tcPr>
          <w:p w14:paraId="598ECBB5"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(0.340)</w:t>
            </w:r>
          </w:p>
        </w:tc>
        <w:tc>
          <w:tcPr>
            <w:tcW w:w="1988" w:type="dxa"/>
            <w:hideMark/>
          </w:tcPr>
          <w:p w14:paraId="5629C1BC"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(0.627)</w:t>
            </w:r>
          </w:p>
        </w:tc>
        <w:tc>
          <w:tcPr>
            <w:tcW w:w="1988" w:type="dxa"/>
            <w:hideMark/>
          </w:tcPr>
          <w:p w14:paraId="1AFA211E"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(0.393)</w:t>
            </w:r>
          </w:p>
        </w:tc>
      </w:tr>
      <w:tr w:rsidR="009C3558" w14:paraId="23120C63" w14:textId="77777777" w:rsidTr="0078010B">
        <w:trPr>
          <w:trHeight w:val="248"/>
          <w:jc w:val="center"/>
        </w:trPr>
        <w:tc>
          <w:tcPr>
            <w:tcW w:w="3088" w:type="dxa"/>
            <w:hideMark/>
          </w:tcPr>
          <w:p w14:paraId="74DACF4E"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(Age)</w:t>
            </w:r>
            <w:r>
              <w:rPr>
                <w:rFonts w:ascii="Times New Roman" w:hAnsi="Times New Roman"/>
                <w:sz w:val="24"/>
                <w:szCs w:val="24"/>
                <w:vertAlign w:val="superscript"/>
              </w:rPr>
              <w:t>2</w:t>
            </w:r>
          </w:p>
        </w:tc>
        <w:tc>
          <w:tcPr>
            <w:tcW w:w="1988" w:type="dxa"/>
            <w:hideMark/>
          </w:tcPr>
          <w:p w14:paraId="094FCDD0"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0.007</w:t>
            </w:r>
          </w:p>
        </w:tc>
        <w:tc>
          <w:tcPr>
            <w:tcW w:w="1988" w:type="dxa"/>
            <w:hideMark/>
          </w:tcPr>
          <w:p w14:paraId="55975C62"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0.003</w:t>
            </w:r>
          </w:p>
        </w:tc>
        <w:tc>
          <w:tcPr>
            <w:tcW w:w="1988" w:type="dxa"/>
            <w:hideMark/>
          </w:tcPr>
          <w:p w14:paraId="2AC001CE"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0.007</w:t>
            </w:r>
          </w:p>
        </w:tc>
      </w:tr>
      <w:tr w:rsidR="009C3558" w14:paraId="3412A9C4" w14:textId="77777777" w:rsidTr="0078010B">
        <w:trPr>
          <w:trHeight w:val="267"/>
          <w:jc w:val="center"/>
        </w:trPr>
        <w:tc>
          <w:tcPr>
            <w:tcW w:w="3088" w:type="dxa"/>
          </w:tcPr>
          <w:p w14:paraId="0671EF8F"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p>
        </w:tc>
        <w:tc>
          <w:tcPr>
            <w:tcW w:w="1988" w:type="dxa"/>
            <w:hideMark/>
          </w:tcPr>
          <w:p w14:paraId="5C000043"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(0.006)</w:t>
            </w:r>
          </w:p>
        </w:tc>
        <w:tc>
          <w:tcPr>
            <w:tcW w:w="1988" w:type="dxa"/>
            <w:hideMark/>
          </w:tcPr>
          <w:p w14:paraId="0716F6D7"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(0.010)</w:t>
            </w:r>
          </w:p>
        </w:tc>
        <w:tc>
          <w:tcPr>
            <w:tcW w:w="1988" w:type="dxa"/>
            <w:hideMark/>
          </w:tcPr>
          <w:p w14:paraId="17084A2F"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(0.007)</w:t>
            </w:r>
          </w:p>
        </w:tc>
      </w:tr>
      <w:tr w:rsidR="009C3558" w14:paraId="767D28F9" w14:textId="77777777" w:rsidTr="0078010B">
        <w:trPr>
          <w:trHeight w:val="267"/>
          <w:jc w:val="center"/>
        </w:trPr>
        <w:tc>
          <w:tcPr>
            <w:tcW w:w="3088" w:type="dxa"/>
          </w:tcPr>
          <w:p w14:paraId="4B07A2FD"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p>
        </w:tc>
        <w:tc>
          <w:tcPr>
            <w:tcW w:w="1988" w:type="dxa"/>
          </w:tcPr>
          <w:p w14:paraId="7F049521"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p>
        </w:tc>
        <w:tc>
          <w:tcPr>
            <w:tcW w:w="1988" w:type="dxa"/>
          </w:tcPr>
          <w:p w14:paraId="6DDA0F4B"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p>
        </w:tc>
        <w:tc>
          <w:tcPr>
            <w:tcW w:w="1988" w:type="dxa"/>
          </w:tcPr>
          <w:p w14:paraId="61899745"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p>
        </w:tc>
      </w:tr>
      <w:tr w:rsidR="009C3558" w14:paraId="252462E4" w14:textId="77777777" w:rsidTr="0078010B">
        <w:trPr>
          <w:trHeight w:val="267"/>
          <w:jc w:val="center"/>
        </w:trPr>
        <w:tc>
          <w:tcPr>
            <w:tcW w:w="3088" w:type="dxa"/>
            <w:hideMark/>
          </w:tcPr>
          <w:p w14:paraId="3A99E2C6"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Observations</w:t>
            </w:r>
          </w:p>
        </w:tc>
        <w:tc>
          <w:tcPr>
            <w:tcW w:w="1988" w:type="dxa"/>
            <w:hideMark/>
          </w:tcPr>
          <w:p w14:paraId="3C9DABC2"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2,850</w:t>
            </w:r>
          </w:p>
        </w:tc>
        <w:tc>
          <w:tcPr>
            <w:tcW w:w="1988" w:type="dxa"/>
            <w:hideMark/>
          </w:tcPr>
          <w:p w14:paraId="07D3058D"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786</w:t>
            </w:r>
          </w:p>
        </w:tc>
        <w:tc>
          <w:tcPr>
            <w:tcW w:w="1988" w:type="dxa"/>
            <w:hideMark/>
          </w:tcPr>
          <w:p w14:paraId="45889E0E"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2,064</w:t>
            </w:r>
          </w:p>
        </w:tc>
      </w:tr>
      <w:tr w:rsidR="009C3558" w14:paraId="0913EAC2" w14:textId="77777777" w:rsidTr="0078010B">
        <w:trPr>
          <w:trHeight w:val="248"/>
          <w:jc w:val="center"/>
        </w:trPr>
        <w:tc>
          <w:tcPr>
            <w:tcW w:w="3088" w:type="dxa"/>
            <w:hideMark/>
          </w:tcPr>
          <w:p w14:paraId="7FF29C91"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R-squared</w:t>
            </w:r>
          </w:p>
        </w:tc>
        <w:tc>
          <w:tcPr>
            <w:tcW w:w="1988" w:type="dxa"/>
            <w:hideMark/>
          </w:tcPr>
          <w:p w14:paraId="196D5B6B"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0.048</w:t>
            </w:r>
          </w:p>
        </w:tc>
        <w:tc>
          <w:tcPr>
            <w:tcW w:w="1988" w:type="dxa"/>
            <w:hideMark/>
          </w:tcPr>
          <w:p w14:paraId="1358CB5A"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0.126</w:t>
            </w:r>
          </w:p>
        </w:tc>
        <w:tc>
          <w:tcPr>
            <w:tcW w:w="1988" w:type="dxa"/>
            <w:hideMark/>
          </w:tcPr>
          <w:p w14:paraId="507DE701"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0.032</w:t>
            </w:r>
          </w:p>
        </w:tc>
      </w:tr>
      <w:tr w:rsidR="009C3558" w14:paraId="447952B5" w14:textId="77777777" w:rsidTr="0078010B">
        <w:trPr>
          <w:trHeight w:val="67"/>
          <w:jc w:val="center"/>
        </w:trPr>
        <w:tc>
          <w:tcPr>
            <w:tcW w:w="3088" w:type="dxa"/>
            <w:hideMark/>
          </w:tcPr>
          <w:p w14:paraId="5C21BC56"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Number of households</w:t>
            </w:r>
          </w:p>
        </w:tc>
        <w:tc>
          <w:tcPr>
            <w:tcW w:w="1988" w:type="dxa"/>
            <w:hideMark/>
          </w:tcPr>
          <w:p w14:paraId="1543215C"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1,782</w:t>
            </w:r>
          </w:p>
        </w:tc>
        <w:tc>
          <w:tcPr>
            <w:tcW w:w="1988" w:type="dxa"/>
            <w:hideMark/>
          </w:tcPr>
          <w:p w14:paraId="4B639266"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490</w:t>
            </w:r>
          </w:p>
        </w:tc>
        <w:tc>
          <w:tcPr>
            <w:tcW w:w="1988" w:type="dxa"/>
            <w:hideMark/>
          </w:tcPr>
          <w:p w14:paraId="45F433F0"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1,292</w:t>
            </w:r>
          </w:p>
        </w:tc>
      </w:tr>
      <w:tr w:rsidR="009C3558" w14:paraId="4249DD0F" w14:textId="77777777" w:rsidTr="00E72F9B">
        <w:trPr>
          <w:trHeight w:val="435"/>
          <w:jc w:val="center"/>
        </w:trPr>
        <w:tc>
          <w:tcPr>
            <w:tcW w:w="3088" w:type="dxa"/>
            <w:tcBorders>
              <w:top w:val="nil"/>
              <w:left w:val="nil"/>
              <w:bottom w:val="single" w:sz="6" w:space="0" w:color="auto"/>
              <w:right w:val="nil"/>
            </w:tcBorders>
            <w:hideMark/>
          </w:tcPr>
          <w:p w14:paraId="7D66BF65" w14:textId="77777777" w:rsidR="009C3558" w:rsidRDefault="009C3558" w:rsidP="0078010B">
            <w:pPr>
              <w:widowControl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Household FE</w:t>
            </w:r>
          </w:p>
        </w:tc>
        <w:tc>
          <w:tcPr>
            <w:tcW w:w="1988" w:type="dxa"/>
            <w:tcBorders>
              <w:top w:val="nil"/>
              <w:left w:val="nil"/>
              <w:bottom w:val="single" w:sz="6" w:space="0" w:color="auto"/>
              <w:right w:val="nil"/>
            </w:tcBorders>
            <w:hideMark/>
          </w:tcPr>
          <w:p w14:paraId="69C97721"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Yes</w:t>
            </w:r>
          </w:p>
        </w:tc>
        <w:tc>
          <w:tcPr>
            <w:tcW w:w="1988" w:type="dxa"/>
            <w:tcBorders>
              <w:top w:val="nil"/>
              <w:left w:val="nil"/>
              <w:bottom w:val="single" w:sz="6" w:space="0" w:color="auto"/>
              <w:right w:val="nil"/>
            </w:tcBorders>
            <w:hideMark/>
          </w:tcPr>
          <w:p w14:paraId="70EC2D7D"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Yes</w:t>
            </w:r>
          </w:p>
        </w:tc>
        <w:tc>
          <w:tcPr>
            <w:tcW w:w="1988" w:type="dxa"/>
            <w:tcBorders>
              <w:top w:val="nil"/>
              <w:left w:val="nil"/>
              <w:bottom w:val="single" w:sz="6" w:space="0" w:color="auto"/>
              <w:right w:val="nil"/>
            </w:tcBorders>
            <w:hideMark/>
          </w:tcPr>
          <w:p w14:paraId="2F9A01F5" w14:textId="77777777" w:rsidR="009C3558" w:rsidRDefault="009C3558" w:rsidP="0078010B">
            <w:pPr>
              <w:widowControl w:val="0"/>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Yes</w:t>
            </w:r>
          </w:p>
        </w:tc>
      </w:tr>
    </w:tbl>
    <w:p w14:paraId="26B2661D" w14:textId="77777777" w:rsidR="009C3558" w:rsidRDefault="009C3558" w:rsidP="009C3558">
      <w:pPr>
        <w:spacing w:after="0" w:line="276" w:lineRule="auto"/>
        <w:jc w:val="center"/>
        <w:rPr>
          <w:rFonts w:ascii="Times New Roman" w:hAnsi="Times New Roman" w:cs="Times New Roman"/>
        </w:rPr>
      </w:pPr>
      <w:r>
        <w:rPr>
          <w:rFonts w:ascii="Times New Roman" w:hAnsi="Times New Roman" w:cs="Times New Roman"/>
        </w:rPr>
        <w:t>Note: Standard errors are clustered at the primary sampling unit level and are shown in parentheses.</w:t>
      </w:r>
    </w:p>
    <w:p w14:paraId="25041BF6" w14:textId="77777777" w:rsidR="009C3558" w:rsidRDefault="009C3558" w:rsidP="009C3558">
      <w:pPr>
        <w:spacing w:after="0" w:line="276" w:lineRule="auto"/>
        <w:jc w:val="center"/>
      </w:pPr>
      <w:r>
        <w:rPr>
          <w:rFonts w:ascii="Times New Roman" w:hAnsi="Times New Roman" w:cs="Times New Roman"/>
        </w:rPr>
        <w:t>*** p&lt;0.01, ** p&lt;0.05, * p&lt;0.1</w:t>
      </w:r>
    </w:p>
    <w:p w14:paraId="29B17367" w14:textId="77777777" w:rsidR="009C3558" w:rsidRDefault="009C3558" w:rsidP="009C3558">
      <w:pPr>
        <w:spacing w:line="360" w:lineRule="auto"/>
        <w:jc w:val="both"/>
        <w:rPr>
          <w:rFonts w:ascii="Times New Roman" w:hAnsi="Times New Roman" w:cs="Times New Roman"/>
          <w:b/>
          <w:sz w:val="24"/>
          <w:szCs w:val="24"/>
        </w:rPr>
      </w:pPr>
    </w:p>
    <w:p w14:paraId="70AF0959" w14:textId="77777777" w:rsidR="009C3558" w:rsidRDefault="009C3558" w:rsidP="006829DB">
      <w:pPr>
        <w:pStyle w:val="Caption"/>
        <w:keepNext/>
        <w:spacing w:before="240"/>
        <w:rPr>
          <w:rFonts w:ascii="Times New Roman" w:hAnsi="Times New Roman" w:cs="Times New Roman"/>
          <w:b/>
          <w:i w:val="0"/>
          <w:color w:val="auto"/>
          <w:sz w:val="24"/>
        </w:rPr>
      </w:pPr>
      <w:r>
        <w:rPr>
          <w:rFonts w:ascii="Times New Roman" w:hAnsi="Times New Roman" w:cs="Times New Roman"/>
          <w:b/>
          <w:i w:val="0"/>
          <w:color w:val="auto"/>
          <w:sz w:val="24"/>
        </w:rPr>
        <w:t xml:space="preserve">Figure </w:t>
      </w:r>
      <w:r w:rsidR="009353DE">
        <w:rPr>
          <w:rFonts w:ascii="Times New Roman" w:hAnsi="Times New Roman" w:cs="Times New Roman"/>
          <w:b/>
          <w:i w:val="0"/>
          <w:color w:val="auto"/>
          <w:sz w:val="24"/>
        </w:rPr>
        <w:fldChar w:fldCharType="begin"/>
      </w:r>
      <w:r w:rsidR="009353DE">
        <w:rPr>
          <w:rFonts w:ascii="Times New Roman" w:hAnsi="Times New Roman" w:cs="Times New Roman"/>
          <w:b/>
          <w:i w:val="0"/>
          <w:color w:val="auto"/>
          <w:sz w:val="24"/>
        </w:rPr>
        <w:instrText xml:space="preserve"> SEQ Figure \* ARABIC </w:instrText>
      </w:r>
      <w:r w:rsidR="009353DE">
        <w:rPr>
          <w:rFonts w:ascii="Times New Roman" w:hAnsi="Times New Roman" w:cs="Times New Roman"/>
          <w:b/>
          <w:i w:val="0"/>
          <w:color w:val="auto"/>
          <w:sz w:val="24"/>
        </w:rPr>
        <w:fldChar w:fldCharType="separate"/>
      </w:r>
      <w:r w:rsidR="007F72CA">
        <w:rPr>
          <w:rFonts w:ascii="Times New Roman" w:hAnsi="Times New Roman" w:cs="Times New Roman"/>
          <w:b/>
          <w:i w:val="0"/>
          <w:noProof/>
          <w:color w:val="auto"/>
          <w:sz w:val="24"/>
        </w:rPr>
        <w:t>4</w:t>
      </w:r>
      <w:r w:rsidR="009353DE">
        <w:rPr>
          <w:rFonts w:ascii="Times New Roman" w:hAnsi="Times New Roman" w:cs="Times New Roman"/>
          <w:b/>
          <w:i w:val="0"/>
          <w:color w:val="auto"/>
          <w:sz w:val="24"/>
        </w:rPr>
        <w:fldChar w:fldCharType="end"/>
      </w:r>
      <w:r>
        <w:rPr>
          <w:rFonts w:ascii="Times New Roman" w:hAnsi="Times New Roman" w:cs="Times New Roman"/>
          <w:b/>
          <w:i w:val="0"/>
          <w:color w:val="auto"/>
          <w:sz w:val="24"/>
        </w:rPr>
        <w:t xml:space="preserve">: </w:t>
      </w:r>
      <w:r w:rsidR="006829DB">
        <w:rPr>
          <w:rFonts w:ascii="Times New Roman" w:hAnsi="Times New Roman" w:cs="Times New Roman"/>
          <w:b/>
          <w:i w:val="0"/>
          <w:color w:val="auto"/>
          <w:sz w:val="24"/>
        </w:rPr>
        <w:t>Relationship between o</w:t>
      </w:r>
      <w:r>
        <w:rPr>
          <w:rFonts w:ascii="Times New Roman" w:hAnsi="Times New Roman" w:cs="Times New Roman"/>
          <w:b/>
          <w:i w:val="0"/>
          <w:color w:val="auto"/>
          <w:sz w:val="24"/>
        </w:rPr>
        <w:t xml:space="preserve">verweight/obesity and </w:t>
      </w:r>
      <w:r w:rsidR="00BE7E81">
        <w:rPr>
          <w:rFonts w:ascii="Times New Roman" w:hAnsi="Times New Roman" w:cs="Times New Roman"/>
          <w:b/>
          <w:i w:val="0"/>
          <w:color w:val="auto"/>
          <w:sz w:val="24"/>
        </w:rPr>
        <w:t xml:space="preserve">years of </w:t>
      </w:r>
      <w:r>
        <w:rPr>
          <w:rFonts w:ascii="Times New Roman" w:hAnsi="Times New Roman" w:cs="Times New Roman"/>
          <w:b/>
          <w:i w:val="0"/>
          <w:color w:val="auto"/>
          <w:sz w:val="24"/>
        </w:rPr>
        <w:t>education</w:t>
      </w:r>
      <w:r w:rsidR="006829DB">
        <w:rPr>
          <w:rFonts w:ascii="Times New Roman" w:hAnsi="Times New Roman" w:cs="Times New Roman"/>
          <w:b/>
          <w:i w:val="0"/>
          <w:color w:val="auto"/>
          <w:sz w:val="24"/>
        </w:rPr>
        <w:t>, conditional on age</w:t>
      </w:r>
    </w:p>
    <w:p w14:paraId="0606868F" w14:textId="77777777" w:rsidR="008B4EDC" w:rsidRPr="00042B03" w:rsidRDefault="003B4529" w:rsidP="00042B03">
      <w:pPr>
        <w:spacing w:line="36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5E66564B" wp14:editId="17095EAE">
            <wp:extent cx="4271749" cy="3106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_age.png"/>
                    <pic:cNvPicPr/>
                  </pic:nvPicPr>
                  <pic:blipFill>
                    <a:blip r:embed="rId12">
                      <a:extLst>
                        <a:ext uri="{28A0092B-C50C-407E-A947-70E740481C1C}">
                          <a14:useLocalDpi xmlns:a14="http://schemas.microsoft.com/office/drawing/2010/main" val="0"/>
                        </a:ext>
                      </a:extLst>
                    </a:blip>
                    <a:stretch>
                      <a:fillRect/>
                    </a:stretch>
                  </pic:blipFill>
                  <pic:spPr>
                    <a:xfrm>
                      <a:off x="0" y="0"/>
                      <a:ext cx="4363992" cy="3173636"/>
                    </a:xfrm>
                    <a:prstGeom prst="rect">
                      <a:avLst/>
                    </a:prstGeom>
                  </pic:spPr>
                </pic:pic>
              </a:graphicData>
            </a:graphic>
          </wp:inline>
        </w:drawing>
      </w:r>
    </w:p>
    <w:p w14:paraId="4364CCBA" w14:textId="77777777" w:rsidR="009C3558" w:rsidRDefault="009C3558" w:rsidP="00E75402">
      <w:pPr>
        <w:pStyle w:val="Caption"/>
        <w:keepNext/>
        <w:spacing w:before="240" w:line="276" w:lineRule="auto"/>
        <w:rPr>
          <w:rFonts w:ascii="Times New Roman" w:hAnsi="Times New Roman" w:cs="Times New Roman"/>
          <w:b/>
          <w:i w:val="0"/>
          <w:color w:val="auto"/>
          <w:sz w:val="24"/>
        </w:rPr>
      </w:pPr>
      <w:r>
        <w:rPr>
          <w:rFonts w:ascii="Times New Roman" w:hAnsi="Times New Roman" w:cs="Times New Roman"/>
          <w:b/>
          <w:i w:val="0"/>
          <w:color w:val="auto"/>
          <w:sz w:val="24"/>
        </w:rPr>
        <w:lastRenderedPageBreak/>
        <w:t xml:space="preserve">Figure </w:t>
      </w:r>
      <w:r w:rsidR="009353DE">
        <w:rPr>
          <w:rFonts w:ascii="Times New Roman" w:hAnsi="Times New Roman" w:cs="Times New Roman"/>
          <w:b/>
          <w:i w:val="0"/>
          <w:color w:val="auto"/>
          <w:sz w:val="24"/>
        </w:rPr>
        <w:fldChar w:fldCharType="begin"/>
      </w:r>
      <w:r w:rsidR="009353DE">
        <w:rPr>
          <w:rFonts w:ascii="Times New Roman" w:hAnsi="Times New Roman" w:cs="Times New Roman"/>
          <w:b/>
          <w:i w:val="0"/>
          <w:color w:val="auto"/>
          <w:sz w:val="24"/>
        </w:rPr>
        <w:instrText xml:space="preserve"> SEQ Figure \* ARABIC </w:instrText>
      </w:r>
      <w:r w:rsidR="009353DE">
        <w:rPr>
          <w:rFonts w:ascii="Times New Roman" w:hAnsi="Times New Roman" w:cs="Times New Roman"/>
          <w:b/>
          <w:i w:val="0"/>
          <w:color w:val="auto"/>
          <w:sz w:val="24"/>
        </w:rPr>
        <w:fldChar w:fldCharType="separate"/>
      </w:r>
      <w:r w:rsidR="007F72CA">
        <w:rPr>
          <w:rFonts w:ascii="Times New Roman" w:hAnsi="Times New Roman" w:cs="Times New Roman"/>
          <w:b/>
          <w:i w:val="0"/>
          <w:noProof/>
          <w:color w:val="auto"/>
          <w:sz w:val="24"/>
        </w:rPr>
        <w:t>5</w:t>
      </w:r>
      <w:r w:rsidR="009353DE">
        <w:rPr>
          <w:rFonts w:ascii="Times New Roman" w:hAnsi="Times New Roman" w:cs="Times New Roman"/>
          <w:b/>
          <w:i w:val="0"/>
          <w:color w:val="auto"/>
          <w:sz w:val="24"/>
        </w:rPr>
        <w:fldChar w:fldCharType="end"/>
      </w:r>
      <w:r>
        <w:rPr>
          <w:rFonts w:ascii="Times New Roman" w:hAnsi="Times New Roman" w:cs="Times New Roman"/>
          <w:b/>
          <w:i w:val="0"/>
          <w:color w:val="auto"/>
          <w:sz w:val="24"/>
        </w:rPr>
        <w:t xml:space="preserve">: </w:t>
      </w:r>
      <w:r w:rsidR="00E75402">
        <w:rPr>
          <w:rFonts w:ascii="Times New Roman" w:hAnsi="Times New Roman" w:cs="Times New Roman"/>
          <w:b/>
          <w:i w:val="0"/>
          <w:color w:val="auto"/>
          <w:sz w:val="24"/>
        </w:rPr>
        <w:t>Relationship between o</w:t>
      </w:r>
      <w:r>
        <w:rPr>
          <w:rFonts w:ascii="Times New Roman" w:hAnsi="Times New Roman" w:cs="Times New Roman"/>
          <w:b/>
          <w:i w:val="0"/>
          <w:color w:val="auto"/>
          <w:sz w:val="24"/>
        </w:rPr>
        <w:t xml:space="preserve">verweight/obesity and type of </w:t>
      </w:r>
      <w:r w:rsidR="00D64C60">
        <w:rPr>
          <w:rFonts w:ascii="Times New Roman" w:hAnsi="Times New Roman" w:cs="Times New Roman"/>
          <w:b/>
          <w:i w:val="0"/>
          <w:color w:val="auto"/>
          <w:sz w:val="24"/>
        </w:rPr>
        <w:t>occupation</w:t>
      </w:r>
      <w:r w:rsidR="00E75402">
        <w:rPr>
          <w:rFonts w:ascii="Times New Roman" w:hAnsi="Times New Roman" w:cs="Times New Roman"/>
          <w:b/>
          <w:i w:val="0"/>
          <w:color w:val="auto"/>
          <w:sz w:val="24"/>
        </w:rPr>
        <w:t>, conditional on age</w:t>
      </w:r>
    </w:p>
    <w:p w14:paraId="0D0EDEEE" w14:textId="77777777" w:rsidR="009C3558" w:rsidRDefault="009C3558" w:rsidP="009C3558">
      <w:pPr>
        <w:spacing w:line="276" w:lineRule="auto"/>
        <w:jc w:val="center"/>
      </w:pPr>
      <w:r>
        <w:rPr>
          <w:noProof/>
        </w:rPr>
        <w:drawing>
          <wp:inline distT="0" distB="0" distL="0" distR="0" wp14:anchorId="5D81EE1C" wp14:editId="5C988B27">
            <wp:extent cx="4348222" cy="3166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5770" cy="3208186"/>
                    </a:xfrm>
                    <a:prstGeom prst="rect">
                      <a:avLst/>
                    </a:prstGeom>
                    <a:noFill/>
                    <a:ln w="9525" cmpd="sng">
                      <a:noFill/>
                      <a:miter lim="800000"/>
                      <a:headEnd/>
                      <a:tailEnd/>
                    </a:ln>
                    <a:effectLst/>
                  </pic:spPr>
                </pic:pic>
              </a:graphicData>
            </a:graphic>
          </wp:inline>
        </w:drawing>
      </w:r>
    </w:p>
    <w:p w14:paraId="35E647A4" w14:textId="77777777" w:rsidR="005D750E" w:rsidRDefault="005D750E" w:rsidP="000062F9">
      <w:pPr>
        <w:spacing w:line="259" w:lineRule="auto"/>
        <w:rPr>
          <w:rFonts w:ascii="Times New Roman" w:hAnsi="Times New Roman" w:cs="Times New Roman"/>
          <w:b/>
          <w:iCs/>
          <w:sz w:val="24"/>
          <w:szCs w:val="18"/>
        </w:rPr>
      </w:pPr>
    </w:p>
    <w:p w14:paraId="5123B934" w14:textId="77777777" w:rsidR="0041047E" w:rsidRDefault="0041047E" w:rsidP="000062F9">
      <w:pPr>
        <w:spacing w:line="259" w:lineRule="auto"/>
        <w:rPr>
          <w:rFonts w:ascii="Times New Roman" w:hAnsi="Times New Roman" w:cs="Times New Roman"/>
          <w:b/>
          <w:iCs/>
          <w:sz w:val="24"/>
          <w:szCs w:val="18"/>
        </w:rPr>
      </w:pPr>
    </w:p>
    <w:p w14:paraId="6284D023" w14:textId="7684F745" w:rsidR="0041047E" w:rsidRDefault="0079545E" w:rsidP="0041047E">
      <w:pPr>
        <w:spacing w:line="360" w:lineRule="auto"/>
        <w:jc w:val="both"/>
        <w:rPr>
          <w:rFonts w:ascii="Times New Roman" w:hAnsi="Times New Roman" w:cs="Times New Roman"/>
          <w:sz w:val="24"/>
          <w:szCs w:val="24"/>
        </w:rPr>
      </w:pPr>
      <w:r>
        <w:rPr>
          <w:rFonts w:ascii="Times New Roman" w:hAnsi="Times New Roman" w:cs="Times New Roman"/>
          <w:sz w:val="24"/>
          <w:szCs w:val="24"/>
        </w:rPr>
        <w:t>Next, w</w:t>
      </w:r>
      <w:r w:rsidR="0041047E">
        <w:rPr>
          <w:rFonts w:ascii="Times New Roman" w:hAnsi="Times New Roman" w:cs="Times New Roman"/>
          <w:sz w:val="24"/>
          <w:szCs w:val="24"/>
        </w:rPr>
        <w:t xml:space="preserve">e add controls </w:t>
      </w:r>
      <w:r w:rsidR="008163E8" w:rsidRPr="00BA33CA">
        <w:rPr>
          <w:rFonts w:ascii="Times New Roman" w:hAnsi="Times New Roman" w:cs="Times New Roman"/>
          <w:sz w:val="24"/>
          <w:szCs w:val="24"/>
        </w:rPr>
        <w:t xml:space="preserve">for </w:t>
      </w:r>
      <w:r w:rsidR="008163E8">
        <w:rPr>
          <w:rFonts w:ascii="Times New Roman" w:hAnsi="Times New Roman" w:cs="Times New Roman"/>
          <w:sz w:val="24"/>
          <w:szCs w:val="24"/>
        </w:rPr>
        <w:t>the mother’s</w:t>
      </w:r>
      <w:r w:rsidR="008163E8" w:rsidRPr="00BA33CA">
        <w:rPr>
          <w:rFonts w:ascii="Times New Roman" w:hAnsi="Times New Roman" w:cs="Times New Roman"/>
          <w:sz w:val="24"/>
          <w:szCs w:val="24"/>
        </w:rPr>
        <w:t xml:space="preserve"> years of education and type of occupation</w:t>
      </w:r>
      <w:r w:rsidR="008163E8">
        <w:rPr>
          <w:rFonts w:ascii="Times New Roman" w:hAnsi="Times New Roman" w:cs="Times New Roman"/>
          <w:sz w:val="24"/>
          <w:szCs w:val="24"/>
        </w:rPr>
        <w:t xml:space="preserve"> </w:t>
      </w:r>
      <w:r w:rsidR="0041047E">
        <w:rPr>
          <w:rFonts w:ascii="Times New Roman" w:hAnsi="Times New Roman" w:cs="Times New Roman"/>
          <w:sz w:val="24"/>
          <w:szCs w:val="24"/>
        </w:rPr>
        <w:t xml:space="preserve">to </w:t>
      </w:r>
      <w:r w:rsidR="00EE5213">
        <w:rPr>
          <w:rFonts w:ascii="Times New Roman" w:hAnsi="Times New Roman" w:cs="Times New Roman"/>
          <w:sz w:val="24"/>
          <w:szCs w:val="24"/>
        </w:rPr>
        <w:t>th</w:t>
      </w:r>
      <w:r w:rsidR="00B91AA7">
        <w:rPr>
          <w:rFonts w:ascii="Times New Roman" w:hAnsi="Times New Roman" w:cs="Times New Roman"/>
          <w:sz w:val="24"/>
          <w:szCs w:val="24"/>
        </w:rPr>
        <w:t>e</w:t>
      </w:r>
      <w:r w:rsidR="008163E8">
        <w:rPr>
          <w:rFonts w:ascii="Times New Roman" w:hAnsi="Times New Roman" w:cs="Times New Roman"/>
          <w:sz w:val="24"/>
          <w:szCs w:val="24"/>
        </w:rPr>
        <w:t xml:space="preserve"> main</w:t>
      </w:r>
      <w:r w:rsidR="0041047E" w:rsidRPr="00BA33CA">
        <w:rPr>
          <w:rFonts w:ascii="Times New Roman" w:hAnsi="Times New Roman" w:cs="Times New Roman"/>
          <w:sz w:val="24"/>
          <w:szCs w:val="24"/>
        </w:rPr>
        <w:t xml:space="preserve"> percentile regressions</w:t>
      </w:r>
      <w:r w:rsidR="0041047E">
        <w:rPr>
          <w:rFonts w:ascii="Times New Roman" w:hAnsi="Times New Roman" w:cs="Times New Roman"/>
          <w:sz w:val="24"/>
          <w:szCs w:val="24"/>
        </w:rPr>
        <w:t xml:space="preserve"> </w:t>
      </w:r>
      <w:r w:rsidR="004A0C61">
        <w:rPr>
          <w:rFonts w:ascii="Times New Roman" w:hAnsi="Times New Roman" w:cs="Times New Roman"/>
          <w:sz w:val="24"/>
          <w:szCs w:val="24"/>
        </w:rPr>
        <w:t>reported in</w:t>
      </w:r>
      <w:r w:rsidR="0041047E">
        <w:rPr>
          <w:rFonts w:ascii="Times New Roman" w:hAnsi="Times New Roman" w:cs="Times New Roman"/>
          <w:sz w:val="24"/>
          <w:szCs w:val="24"/>
        </w:rPr>
        <w:t xml:space="preserve"> Table 1. We</w:t>
      </w:r>
      <w:r w:rsidR="008163E8">
        <w:rPr>
          <w:rFonts w:ascii="Times New Roman" w:hAnsi="Times New Roman" w:cs="Times New Roman"/>
          <w:sz w:val="24"/>
          <w:szCs w:val="24"/>
        </w:rPr>
        <w:t xml:space="preserve"> also</w:t>
      </w:r>
      <w:r w:rsidR="0041047E">
        <w:rPr>
          <w:rFonts w:ascii="Times New Roman" w:hAnsi="Times New Roman" w:cs="Times New Roman"/>
          <w:sz w:val="24"/>
          <w:szCs w:val="24"/>
        </w:rPr>
        <w:t xml:space="preserve"> </w:t>
      </w:r>
      <w:r w:rsidR="0041047E" w:rsidRPr="00BA33CA">
        <w:rPr>
          <w:rFonts w:ascii="Times New Roman" w:hAnsi="Times New Roman" w:cs="Times New Roman"/>
          <w:sz w:val="24"/>
          <w:szCs w:val="24"/>
        </w:rPr>
        <w:t>control for</w:t>
      </w:r>
      <w:r w:rsidR="00893DBB">
        <w:t xml:space="preserve"> </w:t>
      </w:r>
      <w:r w:rsidR="00893DBB" w:rsidRPr="003364E4">
        <w:rPr>
          <w:rFonts w:ascii="Times New Roman" w:hAnsi="Times New Roman" w:cs="Times New Roman"/>
          <w:sz w:val="24"/>
          <w:szCs w:val="24"/>
        </w:rPr>
        <w:t>the mother’s</w:t>
      </w:r>
      <w:r w:rsidR="008F399E" w:rsidRPr="008F399E">
        <w:rPr>
          <w:rFonts w:ascii="Times New Roman" w:hAnsi="Times New Roman" w:cs="Times New Roman"/>
          <w:sz w:val="24"/>
          <w:szCs w:val="24"/>
        </w:rPr>
        <w:t xml:space="preserve"> age, square of age, urban/rural residence</w:t>
      </w:r>
      <w:r w:rsidR="00581D80">
        <w:rPr>
          <w:rFonts w:ascii="Times New Roman" w:hAnsi="Times New Roman" w:cs="Times New Roman"/>
          <w:sz w:val="24"/>
          <w:szCs w:val="24"/>
        </w:rPr>
        <w:t>,</w:t>
      </w:r>
      <w:r w:rsidR="008F399E" w:rsidRPr="008F399E">
        <w:rPr>
          <w:rFonts w:ascii="Times New Roman" w:hAnsi="Times New Roman" w:cs="Times New Roman"/>
          <w:sz w:val="24"/>
          <w:szCs w:val="24"/>
        </w:rPr>
        <w:t xml:space="preserve"> </w:t>
      </w:r>
      <w:r w:rsidR="00FA7FF0">
        <w:rPr>
          <w:rFonts w:ascii="Times New Roman" w:hAnsi="Times New Roman" w:cs="Times New Roman"/>
          <w:sz w:val="24"/>
          <w:szCs w:val="24"/>
        </w:rPr>
        <w:t xml:space="preserve">the </w:t>
      </w:r>
      <w:r w:rsidR="008F399E" w:rsidRPr="008F399E">
        <w:rPr>
          <w:rFonts w:ascii="Times New Roman" w:hAnsi="Times New Roman" w:cs="Times New Roman"/>
          <w:sz w:val="24"/>
          <w:szCs w:val="24"/>
        </w:rPr>
        <w:t>household’s caste category, and the household’s religion</w:t>
      </w:r>
      <w:r w:rsidR="00077FE3">
        <w:rPr>
          <w:rFonts w:ascii="Times New Roman" w:hAnsi="Times New Roman" w:cs="Times New Roman"/>
          <w:sz w:val="24"/>
          <w:szCs w:val="24"/>
        </w:rPr>
        <w:t xml:space="preserve">. We </w:t>
      </w:r>
      <w:r w:rsidR="0041047E" w:rsidRPr="00BA33CA">
        <w:rPr>
          <w:rFonts w:ascii="Times New Roman" w:hAnsi="Times New Roman" w:cs="Times New Roman"/>
          <w:sz w:val="24"/>
          <w:szCs w:val="24"/>
        </w:rPr>
        <w:t>present coefficients from the</w:t>
      </w:r>
      <w:r w:rsidR="00077FE3">
        <w:rPr>
          <w:rFonts w:ascii="Times New Roman" w:hAnsi="Times New Roman" w:cs="Times New Roman"/>
          <w:sz w:val="24"/>
          <w:szCs w:val="24"/>
        </w:rPr>
        <w:t>se</w:t>
      </w:r>
      <w:r w:rsidR="0041047E" w:rsidRPr="00BA33CA">
        <w:rPr>
          <w:rFonts w:ascii="Times New Roman" w:hAnsi="Times New Roman" w:cs="Times New Roman"/>
          <w:sz w:val="24"/>
          <w:szCs w:val="24"/>
        </w:rPr>
        <w:t xml:space="preserve"> regressions in Table 3.</w:t>
      </w:r>
      <w:r w:rsidR="0041047E">
        <w:rPr>
          <w:rFonts w:ascii="Times New Roman" w:hAnsi="Times New Roman" w:cs="Times New Roman"/>
          <w:sz w:val="24"/>
          <w:szCs w:val="24"/>
        </w:rPr>
        <w:t xml:space="preserve"> </w:t>
      </w:r>
    </w:p>
    <w:p w14:paraId="1C31BD29" w14:textId="77777777" w:rsidR="0041047E" w:rsidRDefault="0041047E" w:rsidP="0041047E">
      <w:pPr>
        <w:spacing w:line="360" w:lineRule="auto"/>
        <w:jc w:val="both"/>
        <w:rPr>
          <w:rFonts w:ascii="Times New Roman" w:hAnsi="Times New Roman" w:cs="Times New Roman"/>
          <w:sz w:val="24"/>
          <w:szCs w:val="24"/>
        </w:rPr>
      </w:pPr>
      <w:r>
        <w:rPr>
          <w:rFonts w:ascii="Times New Roman" w:hAnsi="Times New Roman" w:cs="Times New Roman"/>
          <w:sz w:val="24"/>
          <w:szCs w:val="24"/>
        </w:rPr>
        <w:t>The impact of first child’s sex on BMI is still positive and statistically significant between the 30</w:t>
      </w:r>
      <w:r w:rsidRPr="00545DFB">
        <w:rPr>
          <w:rFonts w:ascii="Times New Roman" w:hAnsi="Times New Roman" w:cs="Times New Roman"/>
          <w:sz w:val="24"/>
          <w:szCs w:val="24"/>
          <w:vertAlign w:val="superscript"/>
        </w:rPr>
        <w:t>th</w:t>
      </w:r>
      <w:r>
        <w:rPr>
          <w:rFonts w:ascii="Times New Roman" w:hAnsi="Times New Roman" w:cs="Times New Roman"/>
          <w:sz w:val="24"/>
          <w:szCs w:val="24"/>
        </w:rPr>
        <w:t xml:space="preserve"> to 70</w:t>
      </w:r>
      <w:r w:rsidRPr="00545DFB">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percentiles of BMI. </w:t>
      </w:r>
      <w:r w:rsidRPr="004A37C7">
        <w:rPr>
          <w:rFonts w:ascii="Times New Roman" w:hAnsi="Times New Roman" w:cs="Times New Roman"/>
          <w:sz w:val="24"/>
          <w:szCs w:val="24"/>
        </w:rPr>
        <w:t>Interestingly, it is not statistically significant at the bottom two and top two BMI percentiles. It seems that education and occupation are more important than the first</w:t>
      </w:r>
      <w:r>
        <w:rPr>
          <w:rFonts w:ascii="Times New Roman" w:hAnsi="Times New Roman" w:cs="Times New Roman"/>
          <w:sz w:val="24"/>
          <w:szCs w:val="24"/>
        </w:rPr>
        <w:t xml:space="preserve"> child’s sex as determinants of overweight/obesity for women who are either underweight, or obese. </w:t>
      </w:r>
    </w:p>
    <w:p w14:paraId="0E8AFE65" w14:textId="5E572B44" w:rsidR="0041047E" w:rsidRPr="000062F9" w:rsidRDefault="0041047E" w:rsidP="000062F9">
      <w:pPr>
        <w:spacing w:line="259" w:lineRule="auto"/>
        <w:rPr>
          <w:rFonts w:ascii="Times New Roman" w:hAnsi="Times New Roman" w:cs="Times New Roman"/>
          <w:b/>
          <w:iCs/>
          <w:sz w:val="24"/>
          <w:szCs w:val="18"/>
        </w:rPr>
        <w:sectPr w:rsidR="0041047E" w:rsidRPr="000062F9">
          <w:pgSz w:w="11906" w:h="16838"/>
          <w:pgMar w:top="1440" w:right="1440" w:bottom="1440" w:left="1440" w:header="708" w:footer="708" w:gutter="0"/>
          <w:cols w:space="708"/>
          <w:docGrid w:linePitch="360"/>
        </w:sectPr>
      </w:pPr>
    </w:p>
    <w:p w14:paraId="054E296F" w14:textId="77777777" w:rsidR="00C84077" w:rsidRPr="00C84077" w:rsidRDefault="00C84077" w:rsidP="00C84077">
      <w:pPr>
        <w:pStyle w:val="Caption"/>
        <w:keepNext/>
        <w:rPr>
          <w:rFonts w:ascii="Times New Roman" w:hAnsi="Times New Roman" w:cs="Times New Roman"/>
          <w:b/>
          <w:i w:val="0"/>
          <w:color w:val="auto"/>
          <w:sz w:val="24"/>
        </w:rPr>
      </w:pPr>
      <w:r w:rsidRPr="00C84077">
        <w:rPr>
          <w:rFonts w:ascii="Times New Roman" w:hAnsi="Times New Roman" w:cs="Times New Roman"/>
          <w:b/>
          <w:i w:val="0"/>
          <w:color w:val="auto"/>
          <w:sz w:val="24"/>
        </w:rPr>
        <w:lastRenderedPageBreak/>
        <w:t xml:space="preserve">Table </w:t>
      </w:r>
      <w:r w:rsidRPr="00C84077">
        <w:rPr>
          <w:rFonts w:ascii="Times New Roman" w:hAnsi="Times New Roman" w:cs="Times New Roman"/>
          <w:b/>
          <w:i w:val="0"/>
          <w:color w:val="auto"/>
          <w:sz w:val="24"/>
        </w:rPr>
        <w:fldChar w:fldCharType="begin"/>
      </w:r>
      <w:r w:rsidRPr="00C84077">
        <w:rPr>
          <w:rFonts w:ascii="Times New Roman" w:hAnsi="Times New Roman" w:cs="Times New Roman"/>
          <w:b/>
          <w:i w:val="0"/>
          <w:color w:val="auto"/>
          <w:sz w:val="24"/>
        </w:rPr>
        <w:instrText xml:space="preserve"> SEQ Table \* ARABIC </w:instrText>
      </w:r>
      <w:r w:rsidRPr="00C84077">
        <w:rPr>
          <w:rFonts w:ascii="Times New Roman" w:hAnsi="Times New Roman" w:cs="Times New Roman"/>
          <w:b/>
          <w:i w:val="0"/>
          <w:color w:val="auto"/>
          <w:sz w:val="24"/>
        </w:rPr>
        <w:fldChar w:fldCharType="separate"/>
      </w:r>
      <w:r w:rsidR="00C004AA">
        <w:rPr>
          <w:rFonts w:ascii="Times New Roman" w:hAnsi="Times New Roman" w:cs="Times New Roman"/>
          <w:b/>
          <w:i w:val="0"/>
          <w:noProof/>
          <w:color w:val="auto"/>
          <w:sz w:val="24"/>
        </w:rPr>
        <w:t>3</w:t>
      </w:r>
      <w:r w:rsidRPr="00C84077">
        <w:rPr>
          <w:rFonts w:ascii="Times New Roman" w:hAnsi="Times New Roman" w:cs="Times New Roman"/>
          <w:b/>
          <w:i w:val="0"/>
          <w:color w:val="auto"/>
          <w:sz w:val="24"/>
        </w:rPr>
        <w:fldChar w:fldCharType="end"/>
      </w:r>
      <w:r w:rsidRPr="00C84077">
        <w:rPr>
          <w:rFonts w:ascii="Times New Roman" w:hAnsi="Times New Roman" w:cs="Times New Roman"/>
          <w:b/>
          <w:i w:val="0"/>
          <w:color w:val="auto"/>
          <w:sz w:val="24"/>
        </w:rPr>
        <w:t>: Relationship between first child’s sex and mother’s BMI - wit</w:t>
      </w:r>
      <w:r w:rsidR="00AC3024">
        <w:rPr>
          <w:rFonts w:ascii="Times New Roman" w:hAnsi="Times New Roman" w:cs="Times New Roman"/>
          <w:b/>
          <w:i w:val="0"/>
          <w:color w:val="auto"/>
          <w:sz w:val="24"/>
        </w:rPr>
        <w:t>h</w:t>
      </w:r>
      <w:r w:rsidRPr="00C84077">
        <w:rPr>
          <w:rFonts w:ascii="Times New Roman" w:hAnsi="Times New Roman" w:cs="Times New Roman"/>
          <w:b/>
          <w:i w:val="0"/>
          <w:color w:val="auto"/>
          <w:sz w:val="24"/>
        </w:rPr>
        <w:t xml:space="preserve"> controls</w:t>
      </w:r>
      <w:r w:rsidR="00AC3024">
        <w:rPr>
          <w:rFonts w:ascii="Times New Roman" w:hAnsi="Times New Roman" w:cs="Times New Roman"/>
          <w:b/>
          <w:i w:val="0"/>
          <w:color w:val="auto"/>
          <w:sz w:val="24"/>
        </w:rPr>
        <w:t xml:space="preserve"> for education and occupation</w:t>
      </w:r>
    </w:p>
    <w:tbl>
      <w:tblPr>
        <w:tblW w:w="15086" w:type="dxa"/>
        <w:tblLayout w:type="fixed"/>
        <w:tblCellMar>
          <w:left w:w="75" w:type="dxa"/>
          <w:right w:w="75" w:type="dxa"/>
        </w:tblCellMar>
        <w:tblLook w:val="0000" w:firstRow="0" w:lastRow="0" w:firstColumn="0" w:lastColumn="0" w:noHBand="0" w:noVBand="0"/>
      </w:tblPr>
      <w:tblGrid>
        <w:gridCol w:w="2250"/>
        <w:gridCol w:w="1282"/>
        <w:gridCol w:w="1282"/>
        <w:gridCol w:w="1282"/>
        <w:gridCol w:w="1282"/>
        <w:gridCol w:w="1282"/>
        <w:gridCol w:w="1282"/>
        <w:gridCol w:w="1282"/>
        <w:gridCol w:w="1282"/>
        <w:gridCol w:w="1282"/>
        <w:gridCol w:w="1298"/>
      </w:tblGrid>
      <w:tr w:rsidR="00FF69D1" w:rsidRPr="00D8536D" w14:paraId="1B30DFB9" w14:textId="77777777" w:rsidTr="00E40471">
        <w:trPr>
          <w:gridAfter w:val="1"/>
          <w:wAfter w:w="1298" w:type="dxa"/>
          <w:trHeight w:val="309"/>
        </w:trPr>
        <w:tc>
          <w:tcPr>
            <w:tcW w:w="2250" w:type="dxa"/>
            <w:tcBorders>
              <w:top w:val="single" w:sz="6" w:space="0" w:color="auto"/>
              <w:left w:val="nil"/>
              <w:bottom w:val="nil"/>
              <w:right w:val="nil"/>
            </w:tcBorders>
          </w:tcPr>
          <w:p w14:paraId="22983868" w14:textId="77777777" w:rsidR="00FF69D1" w:rsidRPr="00D8536D" w:rsidRDefault="00FF69D1" w:rsidP="001659A8">
            <w:pPr>
              <w:widowControl w:val="0"/>
              <w:autoSpaceDE w:val="0"/>
              <w:autoSpaceDN w:val="0"/>
              <w:adjustRightInd w:val="0"/>
              <w:spacing w:after="0" w:line="240" w:lineRule="auto"/>
              <w:rPr>
                <w:rFonts w:ascii="Times New Roman" w:hAnsi="Times New Roman" w:cs="Times New Roman"/>
                <w:szCs w:val="24"/>
              </w:rPr>
            </w:pPr>
          </w:p>
        </w:tc>
        <w:tc>
          <w:tcPr>
            <w:tcW w:w="1282" w:type="dxa"/>
            <w:tcBorders>
              <w:top w:val="single" w:sz="6" w:space="0" w:color="auto"/>
              <w:left w:val="nil"/>
              <w:bottom w:val="nil"/>
              <w:right w:val="nil"/>
            </w:tcBorders>
          </w:tcPr>
          <w:p w14:paraId="44B8A048"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w:t>
            </w:r>
          </w:p>
        </w:tc>
        <w:tc>
          <w:tcPr>
            <w:tcW w:w="1282" w:type="dxa"/>
            <w:tcBorders>
              <w:top w:val="single" w:sz="6" w:space="0" w:color="auto"/>
              <w:left w:val="nil"/>
              <w:bottom w:val="nil"/>
              <w:right w:val="nil"/>
            </w:tcBorders>
          </w:tcPr>
          <w:p w14:paraId="79E9D454"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(2)</w:t>
            </w:r>
          </w:p>
        </w:tc>
        <w:tc>
          <w:tcPr>
            <w:tcW w:w="1282" w:type="dxa"/>
            <w:tcBorders>
              <w:top w:val="single" w:sz="6" w:space="0" w:color="auto"/>
              <w:left w:val="nil"/>
              <w:bottom w:val="nil"/>
              <w:right w:val="nil"/>
            </w:tcBorders>
          </w:tcPr>
          <w:p w14:paraId="1A83831E"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(3)</w:t>
            </w:r>
          </w:p>
        </w:tc>
        <w:tc>
          <w:tcPr>
            <w:tcW w:w="1282" w:type="dxa"/>
            <w:tcBorders>
              <w:top w:val="single" w:sz="6" w:space="0" w:color="auto"/>
              <w:left w:val="nil"/>
              <w:bottom w:val="nil"/>
              <w:right w:val="nil"/>
            </w:tcBorders>
          </w:tcPr>
          <w:p w14:paraId="4249DF41"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(4)</w:t>
            </w:r>
          </w:p>
        </w:tc>
        <w:tc>
          <w:tcPr>
            <w:tcW w:w="1282" w:type="dxa"/>
            <w:tcBorders>
              <w:top w:val="single" w:sz="6" w:space="0" w:color="auto"/>
              <w:left w:val="nil"/>
              <w:bottom w:val="nil"/>
              <w:right w:val="nil"/>
            </w:tcBorders>
          </w:tcPr>
          <w:p w14:paraId="270693C9"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(5)</w:t>
            </w:r>
          </w:p>
        </w:tc>
        <w:tc>
          <w:tcPr>
            <w:tcW w:w="1282" w:type="dxa"/>
            <w:tcBorders>
              <w:top w:val="single" w:sz="6" w:space="0" w:color="auto"/>
              <w:left w:val="nil"/>
              <w:bottom w:val="nil"/>
              <w:right w:val="nil"/>
            </w:tcBorders>
          </w:tcPr>
          <w:p w14:paraId="42605153"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(6)</w:t>
            </w:r>
          </w:p>
        </w:tc>
        <w:tc>
          <w:tcPr>
            <w:tcW w:w="1282" w:type="dxa"/>
            <w:tcBorders>
              <w:top w:val="single" w:sz="6" w:space="0" w:color="auto"/>
              <w:left w:val="nil"/>
              <w:bottom w:val="nil"/>
              <w:right w:val="nil"/>
            </w:tcBorders>
          </w:tcPr>
          <w:p w14:paraId="041CA5B0"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w:t>
            </w:r>
          </w:p>
        </w:tc>
        <w:tc>
          <w:tcPr>
            <w:tcW w:w="1282" w:type="dxa"/>
            <w:tcBorders>
              <w:top w:val="single" w:sz="6" w:space="0" w:color="auto"/>
              <w:left w:val="nil"/>
              <w:bottom w:val="nil"/>
              <w:right w:val="nil"/>
            </w:tcBorders>
          </w:tcPr>
          <w:p w14:paraId="5A0CFDD1"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(8)</w:t>
            </w:r>
          </w:p>
        </w:tc>
        <w:tc>
          <w:tcPr>
            <w:tcW w:w="1282" w:type="dxa"/>
            <w:tcBorders>
              <w:top w:val="single" w:sz="6" w:space="0" w:color="auto"/>
              <w:left w:val="nil"/>
              <w:bottom w:val="nil"/>
              <w:right w:val="nil"/>
            </w:tcBorders>
          </w:tcPr>
          <w:p w14:paraId="3F723390" w14:textId="77777777" w:rsidR="00FF69D1" w:rsidRPr="00D8536D" w:rsidRDefault="00FF69D1" w:rsidP="001659A8">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(9)</w:t>
            </w:r>
          </w:p>
        </w:tc>
      </w:tr>
      <w:tr w:rsidR="00FF69D1" w:rsidRPr="00D8536D" w14:paraId="40035E40" w14:textId="77777777" w:rsidTr="00E40471">
        <w:trPr>
          <w:gridAfter w:val="1"/>
          <w:wAfter w:w="1298" w:type="dxa"/>
          <w:trHeight w:val="326"/>
        </w:trPr>
        <w:tc>
          <w:tcPr>
            <w:tcW w:w="2250" w:type="dxa"/>
            <w:tcBorders>
              <w:top w:val="nil"/>
              <w:left w:val="nil"/>
              <w:bottom w:val="single" w:sz="6" w:space="0" w:color="auto"/>
              <w:right w:val="nil"/>
            </w:tcBorders>
          </w:tcPr>
          <w:p w14:paraId="3D038FD4"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cs="Times New Roman"/>
                <w:szCs w:val="24"/>
              </w:rPr>
              <w:t>Variables</w:t>
            </w:r>
          </w:p>
        </w:tc>
        <w:tc>
          <w:tcPr>
            <w:tcW w:w="1282" w:type="dxa"/>
            <w:tcBorders>
              <w:top w:val="nil"/>
              <w:left w:val="nil"/>
              <w:bottom w:val="single" w:sz="6" w:space="0" w:color="auto"/>
              <w:right w:val="nil"/>
            </w:tcBorders>
          </w:tcPr>
          <w:p w14:paraId="4CB186C4"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10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518BE35F"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20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7E9E8900"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30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22FACEDF"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40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0ADEFCE2"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50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27982299"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60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12741FC7"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70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0BF3C0C1"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80</w:t>
            </w:r>
            <w:r w:rsidRPr="00D8536D">
              <w:rPr>
                <w:rFonts w:ascii="Times New Roman" w:hAnsi="Times New Roman"/>
                <w:szCs w:val="24"/>
                <w:vertAlign w:val="superscript"/>
              </w:rPr>
              <w:t>th</w:t>
            </w:r>
            <w:r w:rsidRPr="00D8536D">
              <w:rPr>
                <w:rFonts w:ascii="Times New Roman" w:hAnsi="Times New Roman"/>
                <w:szCs w:val="24"/>
              </w:rPr>
              <w:t xml:space="preserve"> percentile</w:t>
            </w:r>
          </w:p>
        </w:tc>
        <w:tc>
          <w:tcPr>
            <w:tcW w:w="1282" w:type="dxa"/>
            <w:tcBorders>
              <w:top w:val="nil"/>
              <w:left w:val="nil"/>
              <w:bottom w:val="single" w:sz="6" w:space="0" w:color="auto"/>
              <w:right w:val="nil"/>
            </w:tcBorders>
          </w:tcPr>
          <w:p w14:paraId="21366D14" w14:textId="77777777" w:rsidR="00FF69D1" w:rsidRPr="00D8536D" w:rsidRDefault="00FF69D1" w:rsidP="00F7734A">
            <w:pPr>
              <w:widowControl w:val="0"/>
              <w:autoSpaceDE w:val="0"/>
              <w:autoSpaceDN w:val="0"/>
              <w:adjustRightInd w:val="0"/>
              <w:spacing w:after="0" w:line="276" w:lineRule="auto"/>
              <w:jc w:val="center"/>
              <w:rPr>
                <w:rFonts w:ascii="Times New Roman" w:hAnsi="Times New Roman"/>
                <w:szCs w:val="24"/>
              </w:rPr>
            </w:pPr>
            <w:r w:rsidRPr="00D8536D">
              <w:rPr>
                <w:rFonts w:ascii="Times New Roman" w:hAnsi="Times New Roman"/>
                <w:szCs w:val="24"/>
              </w:rPr>
              <w:t>90</w:t>
            </w:r>
            <w:r w:rsidRPr="00D8536D">
              <w:rPr>
                <w:rFonts w:ascii="Times New Roman" w:hAnsi="Times New Roman"/>
                <w:szCs w:val="24"/>
                <w:vertAlign w:val="superscript"/>
              </w:rPr>
              <w:t>th</w:t>
            </w:r>
            <w:r w:rsidRPr="00D8536D">
              <w:rPr>
                <w:rFonts w:ascii="Times New Roman" w:hAnsi="Times New Roman"/>
                <w:szCs w:val="24"/>
              </w:rPr>
              <w:t xml:space="preserve"> percentile</w:t>
            </w:r>
          </w:p>
        </w:tc>
      </w:tr>
      <w:tr w:rsidR="00FF69D1" w:rsidRPr="00D8536D" w14:paraId="41BB352D" w14:textId="77777777" w:rsidTr="00E40471">
        <w:trPr>
          <w:gridAfter w:val="1"/>
          <w:wAfter w:w="1298" w:type="dxa"/>
          <w:trHeight w:val="309"/>
        </w:trPr>
        <w:tc>
          <w:tcPr>
            <w:tcW w:w="2250" w:type="dxa"/>
            <w:tcBorders>
              <w:top w:val="nil"/>
              <w:left w:val="nil"/>
              <w:bottom w:val="nil"/>
              <w:right w:val="nil"/>
            </w:tcBorders>
          </w:tcPr>
          <w:p w14:paraId="5C4389C0"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p>
        </w:tc>
        <w:tc>
          <w:tcPr>
            <w:tcW w:w="1282" w:type="dxa"/>
            <w:tcBorders>
              <w:top w:val="nil"/>
              <w:left w:val="nil"/>
              <w:bottom w:val="nil"/>
              <w:right w:val="nil"/>
            </w:tcBorders>
          </w:tcPr>
          <w:p w14:paraId="2608760D"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2DA5886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426E62F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1FD729C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1C6B33F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57B4DDF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50B56EF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5B6F69E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c>
          <w:tcPr>
            <w:tcW w:w="1282" w:type="dxa"/>
            <w:tcBorders>
              <w:top w:val="nil"/>
              <w:left w:val="nil"/>
              <w:bottom w:val="nil"/>
              <w:right w:val="nil"/>
            </w:tcBorders>
          </w:tcPr>
          <w:p w14:paraId="5C3D964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p>
        </w:tc>
      </w:tr>
      <w:tr w:rsidR="00FF69D1" w:rsidRPr="00D8536D" w14:paraId="4BCC0B80" w14:textId="77777777" w:rsidTr="00E40471">
        <w:trPr>
          <w:gridAfter w:val="1"/>
          <w:wAfter w:w="1298" w:type="dxa"/>
          <w:trHeight w:val="326"/>
        </w:trPr>
        <w:tc>
          <w:tcPr>
            <w:tcW w:w="2250" w:type="dxa"/>
            <w:tcBorders>
              <w:top w:val="nil"/>
              <w:left w:val="nil"/>
              <w:bottom w:val="nil"/>
              <w:right w:val="nil"/>
            </w:tcBorders>
          </w:tcPr>
          <w:p w14:paraId="45F3E433"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cs="Times New Roman"/>
                <w:szCs w:val="24"/>
              </w:rPr>
              <w:t>First child is male</w:t>
            </w:r>
          </w:p>
        </w:tc>
        <w:tc>
          <w:tcPr>
            <w:tcW w:w="1282" w:type="dxa"/>
            <w:tcBorders>
              <w:top w:val="nil"/>
              <w:left w:val="nil"/>
              <w:bottom w:val="nil"/>
              <w:right w:val="nil"/>
            </w:tcBorders>
          </w:tcPr>
          <w:p w14:paraId="38866519"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0.037</w:t>
            </w:r>
          </w:p>
        </w:tc>
        <w:tc>
          <w:tcPr>
            <w:tcW w:w="1282" w:type="dxa"/>
            <w:tcBorders>
              <w:top w:val="nil"/>
              <w:left w:val="nil"/>
              <w:bottom w:val="nil"/>
              <w:right w:val="nil"/>
            </w:tcBorders>
          </w:tcPr>
          <w:p w14:paraId="16E1517E"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0.012</w:t>
            </w:r>
          </w:p>
        </w:tc>
        <w:tc>
          <w:tcPr>
            <w:tcW w:w="1282" w:type="dxa"/>
            <w:tcBorders>
              <w:top w:val="nil"/>
              <w:left w:val="nil"/>
              <w:bottom w:val="nil"/>
              <w:right w:val="nil"/>
            </w:tcBorders>
          </w:tcPr>
          <w:p w14:paraId="5D000758"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0.084***</w:t>
            </w:r>
          </w:p>
        </w:tc>
        <w:tc>
          <w:tcPr>
            <w:tcW w:w="1282" w:type="dxa"/>
            <w:tcBorders>
              <w:top w:val="nil"/>
              <w:left w:val="nil"/>
              <w:bottom w:val="nil"/>
              <w:right w:val="nil"/>
            </w:tcBorders>
          </w:tcPr>
          <w:p w14:paraId="65269A20"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0.089***</w:t>
            </w:r>
          </w:p>
        </w:tc>
        <w:tc>
          <w:tcPr>
            <w:tcW w:w="1282" w:type="dxa"/>
            <w:tcBorders>
              <w:top w:val="nil"/>
              <w:left w:val="nil"/>
              <w:bottom w:val="nil"/>
              <w:right w:val="nil"/>
            </w:tcBorders>
          </w:tcPr>
          <w:p w14:paraId="14F3B1B1"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0.070**</w:t>
            </w:r>
          </w:p>
        </w:tc>
        <w:tc>
          <w:tcPr>
            <w:tcW w:w="1282" w:type="dxa"/>
            <w:tcBorders>
              <w:top w:val="nil"/>
              <w:left w:val="nil"/>
              <w:bottom w:val="nil"/>
              <w:right w:val="nil"/>
            </w:tcBorders>
          </w:tcPr>
          <w:p w14:paraId="63F494A3"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0.063*</w:t>
            </w:r>
          </w:p>
        </w:tc>
        <w:tc>
          <w:tcPr>
            <w:tcW w:w="1282" w:type="dxa"/>
            <w:tcBorders>
              <w:top w:val="nil"/>
              <w:left w:val="nil"/>
              <w:bottom w:val="nil"/>
              <w:right w:val="nil"/>
            </w:tcBorders>
          </w:tcPr>
          <w:p w14:paraId="38F71A0A"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0.098**</w:t>
            </w:r>
          </w:p>
        </w:tc>
        <w:tc>
          <w:tcPr>
            <w:tcW w:w="1282" w:type="dxa"/>
            <w:tcBorders>
              <w:top w:val="nil"/>
              <w:left w:val="nil"/>
              <w:bottom w:val="nil"/>
              <w:right w:val="nil"/>
            </w:tcBorders>
          </w:tcPr>
          <w:p w14:paraId="7AAECFE4"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0.055</w:t>
            </w:r>
          </w:p>
        </w:tc>
        <w:tc>
          <w:tcPr>
            <w:tcW w:w="1282" w:type="dxa"/>
            <w:tcBorders>
              <w:top w:val="nil"/>
              <w:left w:val="nil"/>
              <w:bottom w:val="nil"/>
              <w:right w:val="nil"/>
            </w:tcBorders>
          </w:tcPr>
          <w:p w14:paraId="1F6A4B00" w14:textId="77777777" w:rsidR="00FF69D1" w:rsidRPr="009479A4"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9479A4">
              <w:rPr>
                <w:rFonts w:ascii="Times New Roman" w:hAnsi="Times New Roman" w:cs="Times New Roman"/>
                <w:szCs w:val="24"/>
              </w:rPr>
              <w:t>-0.002</w:t>
            </w:r>
          </w:p>
        </w:tc>
      </w:tr>
      <w:tr w:rsidR="00FF69D1" w:rsidRPr="00D8536D" w14:paraId="4E10CAC0" w14:textId="77777777" w:rsidTr="00E40471">
        <w:trPr>
          <w:gridAfter w:val="1"/>
          <w:wAfter w:w="1298" w:type="dxa"/>
          <w:trHeight w:val="309"/>
        </w:trPr>
        <w:tc>
          <w:tcPr>
            <w:tcW w:w="2250" w:type="dxa"/>
            <w:tcBorders>
              <w:top w:val="nil"/>
              <w:left w:val="nil"/>
              <w:bottom w:val="nil"/>
              <w:right w:val="nil"/>
            </w:tcBorders>
          </w:tcPr>
          <w:p w14:paraId="6DE218CB"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p>
        </w:tc>
        <w:tc>
          <w:tcPr>
            <w:tcW w:w="1282" w:type="dxa"/>
            <w:tcBorders>
              <w:top w:val="nil"/>
              <w:left w:val="nil"/>
              <w:bottom w:val="nil"/>
              <w:right w:val="nil"/>
            </w:tcBorders>
          </w:tcPr>
          <w:p w14:paraId="15DE2826"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(0.035)</w:t>
            </w:r>
          </w:p>
        </w:tc>
        <w:tc>
          <w:tcPr>
            <w:tcW w:w="1282" w:type="dxa"/>
            <w:tcBorders>
              <w:top w:val="nil"/>
              <w:left w:val="nil"/>
              <w:bottom w:val="nil"/>
              <w:right w:val="nil"/>
            </w:tcBorders>
          </w:tcPr>
          <w:p w14:paraId="06B6EBC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(0.033)</w:t>
            </w:r>
          </w:p>
        </w:tc>
        <w:tc>
          <w:tcPr>
            <w:tcW w:w="1282" w:type="dxa"/>
            <w:tcBorders>
              <w:top w:val="nil"/>
              <w:left w:val="nil"/>
              <w:bottom w:val="nil"/>
              <w:right w:val="nil"/>
            </w:tcBorders>
          </w:tcPr>
          <w:p w14:paraId="3280376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(0.032)</w:t>
            </w:r>
          </w:p>
        </w:tc>
        <w:tc>
          <w:tcPr>
            <w:tcW w:w="1282" w:type="dxa"/>
            <w:tcBorders>
              <w:top w:val="nil"/>
              <w:left w:val="nil"/>
              <w:bottom w:val="nil"/>
              <w:right w:val="nil"/>
            </w:tcBorders>
          </w:tcPr>
          <w:p w14:paraId="7BDABC9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(0.032)</w:t>
            </w:r>
          </w:p>
        </w:tc>
        <w:tc>
          <w:tcPr>
            <w:tcW w:w="1282" w:type="dxa"/>
            <w:tcBorders>
              <w:top w:val="nil"/>
              <w:left w:val="nil"/>
              <w:bottom w:val="nil"/>
              <w:right w:val="nil"/>
            </w:tcBorders>
          </w:tcPr>
          <w:p w14:paraId="1181D9F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(0.034)</w:t>
            </w:r>
          </w:p>
        </w:tc>
        <w:tc>
          <w:tcPr>
            <w:tcW w:w="1282" w:type="dxa"/>
            <w:tcBorders>
              <w:top w:val="nil"/>
              <w:left w:val="nil"/>
              <w:bottom w:val="nil"/>
              <w:right w:val="nil"/>
            </w:tcBorders>
          </w:tcPr>
          <w:p w14:paraId="3D932B1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(0.037)</w:t>
            </w:r>
          </w:p>
        </w:tc>
        <w:tc>
          <w:tcPr>
            <w:tcW w:w="1282" w:type="dxa"/>
            <w:tcBorders>
              <w:top w:val="nil"/>
              <w:left w:val="nil"/>
              <w:bottom w:val="nil"/>
              <w:right w:val="nil"/>
            </w:tcBorders>
          </w:tcPr>
          <w:p w14:paraId="51E9468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(0.042)</w:t>
            </w:r>
          </w:p>
        </w:tc>
        <w:tc>
          <w:tcPr>
            <w:tcW w:w="1282" w:type="dxa"/>
            <w:tcBorders>
              <w:top w:val="nil"/>
              <w:left w:val="nil"/>
              <w:bottom w:val="nil"/>
              <w:right w:val="nil"/>
            </w:tcBorders>
          </w:tcPr>
          <w:p w14:paraId="7D43B12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(0.048)</w:t>
            </w:r>
          </w:p>
        </w:tc>
        <w:tc>
          <w:tcPr>
            <w:tcW w:w="1282" w:type="dxa"/>
            <w:tcBorders>
              <w:top w:val="nil"/>
              <w:left w:val="nil"/>
              <w:bottom w:val="nil"/>
              <w:right w:val="nil"/>
            </w:tcBorders>
          </w:tcPr>
          <w:p w14:paraId="28F159D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(0.068)</w:t>
            </w:r>
          </w:p>
        </w:tc>
      </w:tr>
      <w:tr w:rsidR="00FF69D1" w:rsidRPr="00D8536D" w14:paraId="0AEDCDA3" w14:textId="77777777" w:rsidTr="00E40471">
        <w:trPr>
          <w:gridAfter w:val="1"/>
          <w:wAfter w:w="1298" w:type="dxa"/>
          <w:trHeight w:val="309"/>
        </w:trPr>
        <w:tc>
          <w:tcPr>
            <w:tcW w:w="2250" w:type="dxa"/>
            <w:tcBorders>
              <w:top w:val="nil"/>
              <w:left w:val="nil"/>
              <w:bottom w:val="nil"/>
              <w:right w:val="nil"/>
            </w:tcBorders>
          </w:tcPr>
          <w:p w14:paraId="753EF752"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cs="Times New Roman"/>
                <w:szCs w:val="24"/>
              </w:rPr>
              <w:t>Years of education</w:t>
            </w:r>
          </w:p>
        </w:tc>
        <w:tc>
          <w:tcPr>
            <w:tcW w:w="1282" w:type="dxa"/>
            <w:tcBorders>
              <w:top w:val="nil"/>
              <w:left w:val="nil"/>
              <w:bottom w:val="nil"/>
              <w:right w:val="nil"/>
            </w:tcBorders>
          </w:tcPr>
          <w:p w14:paraId="0BA3014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0.098***</w:t>
            </w:r>
          </w:p>
        </w:tc>
        <w:tc>
          <w:tcPr>
            <w:tcW w:w="1282" w:type="dxa"/>
            <w:tcBorders>
              <w:top w:val="nil"/>
              <w:left w:val="nil"/>
              <w:bottom w:val="nil"/>
              <w:right w:val="nil"/>
            </w:tcBorders>
          </w:tcPr>
          <w:p w14:paraId="07739C7E"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0.150***</w:t>
            </w:r>
          </w:p>
        </w:tc>
        <w:tc>
          <w:tcPr>
            <w:tcW w:w="1282" w:type="dxa"/>
            <w:tcBorders>
              <w:top w:val="nil"/>
              <w:left w:val="nil"/>
              <w:bottom w:val="nil"/>
              <w:right w:val="nil"/>
            </w:tcBorders>
          </w:tcPr>
          <w:p w14:paraId="79472FA3"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0.178***</w:t>
            </w:r>
          </w:p>
        </w:tc>
        <w:tc>
          <w:tcPr>
            <w:tcW w:w="1282" w:type="dxa"/>
            <w:tcBorders>
              <w:top w:val="nil"/>
              <w:left w:val="nil"/>
              <w:bottom w:val="nil"/>
              <w:right w:val="nil"/>
            </w:tcBorders>
          </w:tcPr>
          <w:p w14:paraId="3AFB845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0.205***</w:t>
            </w:r>
          </w:p>
        </w:tc>
        <w:tc>
          <w:tcPr>
            <w:tcW w:w="1282" w:type="dxa"/>
            <w:tcBorders>
              <w:top w:val="nil"/>
              <w:left w:val="nil"/>
              <w:bottom w:val="nil"/>
              <w:right w:val="nil"/>
            </w:tcBorders>
          </w:tcPr>
          <w:p w14:paraId="5E0FD3E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0.236***</w:t>
            </w:r>
          </w:p>
        </w:tc>
        <w:tc>
          <w:tcPr>
            <w:tcW w:w="1282" w:type="dxa"/>
            <w:tcBorders>
              <w:top w:val="nil"/>
              <w:left w:val="nil"/>
              <w:bottom w:val="nil"/>
              <w:right w:val="nil"/>
            </w:tcBorders>
          </w:tcPr>
          <w:p w14:paraId="2040C213"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0.260***</w:t>
            </w:r>
          </w:p>
        </w:tc>
        <w:tc>
          <w:tcPr>
            <w:tcW w:w="1282" w:type="dxa"/>
            <w:tcBorders>
              <w:top w:val="nil"/>
              <w:left w:val="nil"/>
              <w:bottom w:val="nil"/>
              <w:right w:val="nil"/>
            </w:tcBorders>
          </w:tcPr>
          <w:p w14:paraId="6F620A1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0.281***</w:t>
            </w:r>
          </w:p>
        </w:tc>
        <w:tc>
          <w:tcPr>
            <w:tcW w:w="1282" w:type="dxa"/>
            <w:tcBorders>
              <w:top w:val="nil"/>
              <w:left w:val="nil"/>
              <w:bottom w:val="nil"/>
              <w:right w:val="nil"/>
            </w:tcBorders>
          </w:tcPr>
          <w:p w14:paraId="1F2B427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0.302***</w:t>
            </w:r>
          </w:p>
        </w:tc>
        <w:tc>
          <w:tcPr>
            <w:tcW w:w="1282" w:type="dxa"/>
            <w:tcBorders>
              <w:top w:val="nil"/>
              <w:left w:val="nil"/>
              <w:bottom w:val="nil"/>
              <w:right w:val="nil"/>
            </w:tcBorders>
          </w:tcPr>
          <w:p w14:paraId="59A0DA9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0.334***</w:t>
            </w:r>
          </w:p>
        </w:tc>
      </w:tr>
      <w:tr w:rsidR="00FF69D1" w:rsidRPr="00D8536D" w14:paraId="767F0D83" w14:textId="77777777" w:rsidTr="00E40471">
        <w:trPr>
          <w:gridAfter w:val="1"/>
          <w:wAfter w:w="1298" w:type="dxa"/>
          <w:trHeight w:val="309"/>
        </w:trPr>
        <w:tc>
          <w:tcPr>
            <w:tcW w:w="2250" w:type="dxa"/>
            <w:tcBorders>
              <w:top w:val="nil"/>
              <w:left w:val="nil"/>
              <w:bottom w:val="nil"/>
              <w:right w:val="nil"/>
            </w:tcBorders>
          </w:tcPr>
          <w:p w14:paraId="5FF69B56"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p>
        </w:tc>
        <w:tc>
          <w:tcPr>
            <w:tcW w:w="1282" w:type="dxa"/>
            <w:tcBorders>
              <w:top w:val="nil"/>
              <w:left w:val="nil"/>
              <w:bottom w:val="nil"/>
              <w:right w:val="nil"/>
            </w:tcBorders>
          </w:tcPr>
          <w:p w14:paraId="12B22A2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(0.010)</w:t>
            </w:r>
          </w:p>
        </w:tc>
        <w:tc>
          <w:tcPr>
            <w:tcW w:w="1282" w:type="dxa"/>
            <w:tcBorders>
              <w:top w:val="nil"/>
              <w:left w:val="nil"/>
              <w:bottom w:val="nil"/>
              <w:right w:val="nil"/>
            </w:tcBorders>
          </w:tcPr>
          <w:p w14:paraId="5806FF7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(0.010)</w:t>
            </w:r>
          </w:p>
        </w:tc>
        <w:tc>
          <w:tcPr>
            <w:tcW w:w="1282" w:type="dxa"/>
            <w:tcBorders>
              <w:top w:val="nil"/>
              <w:left w:val="nil"/>
              <w:bottom w:val="nil"/>
              <w:right w:val="nil"/>
            </w:tcBorders>
          </w:tcPr>
          <w:p w14:paraId="1F82688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(0.010)</w:t>
            </w:r>
          </w:p>
        </w:tc>
        <w:tc>
          <w:tcPr>
            <w:tcW w:w="1282" w:type="dxa"/>
            <w:tcBorders>
              <w:top w:val="nil"/>
              <w:left w:val="nil"/>
              <w:bottom w:val="nil"/>
              <w:right w:val="nil"/>
            </w:tcBorders>
          </w:tcPr>
          <w:p w14:paraId="68F0815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(0.010)</w:t>
            </w:r>
          </w:p>
        </w:tc>
        <w:tc>
          <w:tcPr>
            <w:tcW w:w="1282" w:type="dxa"/>
            <w:tcBorders>
              <w:top w:val="nil"/>
              <w:left w:val="nil"/>
              <w:bottom w:val="nil"/>
              <w:right w:val="nil"/>
            </w:tcBorders>
          </w:tcPr>
          <w:p w14:paraId="6D9DF9C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(0.011)</w:t>
            </w:r>
          </w:p>
        </w:tc>
        <w:tc>
          <w:tcPr>
            <w:tcW w:w="1282" w:type="dxa"/>
            <w:tcBorders>
              <w:top w:val="nil"/>
              <w:left w:val="nil"/>
              <w:bottom w:val="nil"/>
              <w:right w:val="nil"/>
            </w:tcBorders>
          </w:tcPr>
          <w:p w14:paraId="60855DED"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(0.011)</w:t>
            </w:r>
          </w:p>
        </w:tc>
        <w:tc>
          <w:tcPr>
            <w:tcW w:w="1282" w:type="dxa"/>
            <w:tcBorders>
              <w:top w:val="nil"/>
              <w:left w:val="nil"/>
              <w:bottom w:val="nil"/>
              <w:right w:val="nil"/>
            </w:tcBorders>
          </w:tcPr>
          <w:p w14:paraId="7771444E"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(0.013)</w:t>
            </w:r>
          </w:p>
        </w:tc>
        <w:tc>
          <w:tcPr>
            <w:tcW w:w="1282" w:type="dxa"/>
            <w:tcBorders>
              <w:top w:val="nil"/>
              <w:left w:val="nil"/>
              <w:bottom w:val="nil"/>
              <w:right w:val="nil"/>
            </w:tcBorders>
          </w:tcPr>
          <w:p w14:paraId="4F56642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(0.015)</w:t>
            </w:r>
          </w:p>
        </w:tc>
        <w:tc>
          <w:tcPr>
            <w:tcW w:w="1282" w:type="dxa"/>
            <w:tcBorders>
              <w:top w:val="nil"/>
              <w:left w:val="nil"/>
              <w:bottom w:val="nil"/>
              <w:right w:val="nil"/>
            </w:tcBorders>
          </w:tcPr>
          <w:p w14:paraId="404D749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(0.021)</w:t>
            </w:r>
          </w:p>
        </w:tc>
      </w:tr>
      <w:tr w:rsidR="00FF69D1" w:rsidRPr="00D8536D" w14:paraId="0B229130" w14:textId="77777777" w:rsidTr="00E40471">
        <w:trPr>
          <w:gridAfter w:val="1"/>
          <w:wAfter w:w="1298" w:type="dxa"/>
          <w:trHeight w:val="326"/>
        </w:trPr>
        <w:tc>
          <w:tcPr>
            <w:tcW w:w="2250" w:type="dxa"/>
            <w:tcBorders>
              <w:top w:val="nil"/>
              <w:left w:val="nil"/>
              <w:bottom w:val="nil"/>
              <w:right w:val="nil"/>
            </w:tcBorders>
          </w:tcPr>
          <w:p w14:paraId="03364511"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szCs w:val="24"/>
              </w:rPr>
              <w:t>(Years of education)</w:t>
            </w:r>
            <w:r w:rsidRPr="00D8536D">
              <w:rPr>
                <w:rFonts w:ascii="Times New Roman" w:hAnsi="Times New Roman"/>
                <w:szCs w:val="24"/>
                <w:vertAlign w:val="superscript"/>
              </w:rPr>
              <w:t>2</w:t>
            </w:r>
          </w:p>
        </w:tc>
        <w:tc>
          <w:tcPr>
            <w:tcW w:w="1282" w:type="dxa"/>
            <w:tcBorders>
              <w:top w:val="nil"/>
              <w:left w:val="nil"/>
              <w:bottom w:val="nil"/>
              <w:right w:val="nil"/>
            </w:tcBorders>
          </w:tcPr>
          <w:p w14:paraId="540454F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453DA0D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-0.002**</w:t>
            </w:r>
          </w:p>
        </w:tc>
        <w:tc>
          <w:tcPr>
            <w:tcW w:w="1282" w:type="dxa"/>
            <w:tcBorders>
              <w:top w:val="nil"/>
              <w:left w:val="nil"/>
              <w:bottom w:val="nil"/>
              <w:right w:val="nil"/>
            </w:tcBorders>
          </w:tcPr>
          <w:p w14:paraId="68503FA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-0.003***</w:t>
            </w:r>
          </w:p>
        </w:tc>
        <w:tc>
          <w:tcPr>
            <w:tcW w:w="1282" w:type="dxa"/>
            <w:tcBorders>
              <w:top w:val="nil"/>
              <w:left w:val="nil"/>
              <w:bottom w:val="nil"/>
              <w:right w:val="nil"/>
            </w:tcBorders>
          </w:tcPr>
          <w:p w14:paraId="69A6EAE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-0.004***</w:t>
            </w:r>
          </w:p>
        </w:tc>
        <w:tc>
          <w:tcPr>
            <w:tcW w:w="1282" w:type="dxa"/>
            <w:tcBorders>
              <w:top w:val="nil"/>
              <w:left w:val="nil"/>
              <w:bottom w:val="nil"/>
              <w:right w:val="nil"/>
            </w:tcBorders>
          </w:tcPr>
          <w:p w14:paraId="438F1FE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-0.006***</w:t>
            </w:r>
          </w:p>
        </w:tc>
        <w:tc>
          <w:tcPr>
            <w:tcW w:w="1282" w:type="dxa"/>
            <w:tcBorders>
              <w:top w:val="nil"/>
              <w:left w:val="nil"/>
              <w:bottom w:val="nil"/>
              <w:right w:val="nil"/>
            </w:tcBorders>
          </w:tcPr>
          <w:p w14:paraId="64C69A6E"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-0.007***</w:t>
            </w:r>
          </w:p>
        </w:tc>
        <w:tc>
          <w:tcPr>
            <w:tcW w:w="1282" w:type="dxa"/>
            <w:tcBorders>
              <w:top w:val="nil"/>
              <w:left w:val="nil"/>
              <w:bottom w:val="nil"/>
              <w:right w:val="nil"/>
            </w:tcBorders>
          </w:tcPr>
          <w:p w14:paraId="321F67C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-0.008***</w:t>
            </w:r>
          </w:p>
        </w:tc>
        <w:tc>
          <w:tcPr>
            <w:tcW w:w="1282" w:type="dxa"/>
            <w:tcBorders>
              <w:top w:val="nil"/>
              <w:left w:val="nil"/>
              <w:bottom w:val="nil"/>
              <w:right w:val="nil"/>
            </w:tcBorders>
          </w:tcPr>
          <w:p w14:paraId="79DDBDE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-0.009***</w:t>
            </w:r>
          </w:p>
        </w:tc>
        <w:tc>
          <w:tcPr>
            <w:tcW w:w="1282" w:type="dxa"/>
            <w:tcBorders>
              <w:top w:val="nil"/>
              <w:left w:val="nil"/>
              <w:bottom w:val="nil"/>
              <w:right w:val="nil"/>
            </w:tcBorders>
          </w:tcPr>
          <w:p w14:paraId="4ACBE52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-0.010***</w:t>
            </w:r>
          </w:p>
        </w:tc>
      </w:tr>
      <w:tr w:rsidR="00FF69D1" w:rsidRPr="00D8536D" w14:paraId="01878A57" w14:textId="77777777" w:rsidTr="00E40471">
        <w:trPr>
          <w:gridAfter w:val="1"/>
          <w:wAfter w:w="1298" w:type="dxa"/>
          <w:trHeight w:val="309"/>
        </w:trPr>
        <w:tc>
          <w:tcPr>
            <w:tcW w:w="2250" w:type="dxa"/>
            <w:tcBorders>
              <w:top w:val="nil"/>
              <w:left w:val="nil"/>
              <w:bottom w:val="nil"/>
              <w:right w:val="nil"/>
            </w:tcBorders>
          </w:tcPr>
          <w:p w14:paraId="4828A29F"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p>
        </w:tc>
        <w:tc>
          <w:tcPr>
            <w:tcW w:w="1282" w:type="dxa"/>
            <w:tcBorders>
              <w:top w:val="nil"/>
              <w:left w:val="nil"/>
              <w:bottom w:val="nil"/>
              <w:right w:val="nil"/>
            </w:tcBorders>
          </w:tcPr>
          <w:p w14:paraId="59F392D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70551D3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0C4EC26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4484301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1E360AA6"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1A43346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1F3F4DA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5A92FCD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c>
          <w:tcPr>
            <w:tcW w:w="1282" w:type="dxa"/>
            <w:tcBorders>
              <w:top w:val="nil"/>
              <w:left w:val="nil"/>
              <w:bottom w:val="nil"/>
              <w:right w:val="nil"/>
            </w:tcBorders>
          </w:tcPr>
          <w:p w14:paraId="53FBE4D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(0.001)</w:t>
            </w:r>
          </w:p>
        </w:tc>
      </w:tr>
      <w:tr w:rsidR="00F7734A" w:rsidRPr="00D8536D" w14:paraId="01884600" w14:textId="77777777" w:rsidTr="00E40471">
        <w:trPr>
          <w:trHeight w:val="301"/>
        </w:trPr>
        <w:tc>
          <w:tcPr>
            <w:tcW w:w="15086" w:type="dxa"/>
            <w:gridSpan w:val="11"/>
            <w:tcBorders>
              <w:top w:val="nil"/>
              <w:left w:val="nil"/>
              <w:bottom w:val="nil"/>
              <w:right w:val="nil"/>
            </w:tcBorders>
          </w:tcPr>
          <w:p w14:paraId="47D2EAD8" w14:textId="77777777" w:rsidR="00F7734A" w:rsidRPr="0073049D" w:rsidRDefault="00F7734A" w:rsidP="00F7734A">
            <w:pPr>
              <w:widowControl w:val="0"/>
              <w:autoSpaceDE w:val="0"/>
              <w:autoSpaceDN w:val="0"/>
              <w:adjustRightInd w:val="0"/>
              <w:spacing w:after="0" w:line="240" w:lineRule="auto"/>
              <w:rPr>
                <w:rFonts w:ascii="Times New Roman" w:hAnsi="Times New Roman" w:cs="Times New Roman"/>
                <w:szCs w:val="24"/>
              </w:rPr>
            </w:pPr>
            <w:r w:rsidRPr="0073049D">
              <w:rPr>
                <w:rFonts w:ascii="Times New Roman" w:hAnsi="Times New Roman"/>
                <w:i/>
              </w:rPr>
              <w:t xml:space="preserve">Type of </w:t>
            </w:r>
            <w:r w:rsidR="00DF7980">
              <w:rPr>
                <w:rFonts w:ascii="Times New Roman" w:hAnsi="Times New Roman"/>
                <w:i/>
              </w:rPr>
              <w:t>occupation</w:t>
            </w:r>
            <w:r w:rsidRPr="0073049D">
              <w:rPr>
                <w:rFonts w:ascii="Times New Roman" w:hAnsi="Times New Roman"/>
                <w:i/>
              </w:rPr>
              <w:t xml:space="preserve">: (Base = </w:t>
            </w:r>
            <w:r w:rsidR="00FC6F23" w:rsidRPr="0073049D">
              <w:rPr>
                <w:rFonts w:ascii="Times New Roman" w:hAnsi="Times New Roman"/>
                <w:i/>
              </w:rPr>
              <w:t>No paid work</w:t>
            </w:r>
            <w:r w:rsidR="0073049D" w:rsidRPr="0073049D">
              <w:rPr>
                <w:rFonts w:ascii="Times New Roman" w:hAnsi="Times New Roman"/>
                <w:i/>
              </w:rPr>
              <w:t>)</w:t>
            </w:r>
          </w:p>
        </w:tc>
      </w:tr>
      <w:tr w:rsidR="00FF69D1" w:rsidRPr="00D8536D" w14:paraId="644B93DA" w14:textId="77777777" w:rsidTr="00E40471">
        <w:trPr>
          <w:gridAfter w:val="1"/>
          <w:wAfter w:w="1298" w:type="dxa"/>
          <w:trHeight w:val="326"/>
        </w:trPr>
        <w:tc>
          <w:tcPr>
            <w:tcW w:w="2250" w:type="dxa"/>
            <w:tcBorders>
              <w:top w:val="nil"/>
              <w:left w:val="nil"/>
              <w:bottom w:val="nil"/>
              <w:right w:val="nil"/>
            </w:tcBorders>
          </w:tcPr>
          <w:p w14:paraId="63F231A9"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r>
              <w:rPr>
                <w:rFonts w:ascii="Times New Roman" w:hAnsi="Times New Roman"/>
                <w:szCs w:val="24"/>
              </w:rPr>
              <w:t>Office</w:t>
            </w:r>
            <w:r w:rsidRPr="00D8536D">
              <w:rPr>
                <w:rFonts w:ascii="Times New Roman" w:hAnsi="Times New Roman"/>
                <w:szCs w:val="24"/>
              </w:rPr>
              <w:t xml:space="preserve"> work</w:t>
            </w:r>
          </w:p>
        </w:tc>
        <w:tc>
          <w:tcPr>
            <w:tcW w:w="1282" w:type="dxa"/>
            <w:tcBorders>
              <w:top w:val="nil"/>
              <w:left w:val="nil"/>
              <w:bottom w:val="nil"/>
              <w:right w:val="nil"/>
            </w:tcBorders>
          </w:tcPr>
          <w:p w14:paraId="5D67FB0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0.386***</w:t>
            </w:r>
          </w:p>
        </w:tc>
        <w:tc>
          <w:tcPr>
            <w:tcW w:w="1282" w:type="dxa"/>
            <w:tcBorders>
              <w:top w:val="nil"/>
              <w:left w:val="nil"/>
              <w:bottom w:val="nil"/>
              <w:right w:val="nil"/>
            </w:tcBorders>
          </w:tcPr>
          <w:p w14:paraId="79174B8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0.273***</w:t>
            </w:r>
          </w:p>
        </w:tc>
        <w:tc>
          <w:tcPr>
            <w:tcW w:w="1282" w:type="dxa"/>
            <w:tcBorders>
              <w:top w:val="nil"/>
              <w:left w:val="nil"/>
              <w:bottom w:val="nil"/>
              <w:right w:val="nil"/>
            </w:tcBorders>
          </w:tcPr>
          <w:p w14:paraId="0DB8AAFF"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0.233***</w:t>
            </w:r>
          </w:p>
        </w:tc>
        <w:tc>
          <w:tcPr>
            <w:tcW w:w="1282" w:type="dxa"/>
            <w:tcBorders>
              <w:top w:val="nil"/>
              <w:left w:val="nil"/>
              <w:bottom w:val="nil"/>
              <w:right w:val="nil"/>
            </w:tcBorders>
          </w:tcPr>
          <w:p w14:paraId="0084BA5A"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0.186**</w:t>
            </w:r>
          </w:p>
        </w:tc>
        <w:tc>
          <w:tcPr>
            <w:tcW w:w="1282" w:type="dxa"/>
            <w:tcBorders>
              <w:top w:val="nil"/>
              <w:left w:val="nil"/>
              <w:bottom w:val="nil"/>
              <w:right w:val="nil"/>
            </w:tcBorders>
          </w:tcPr>
          <w:p w14:paraId="7EEDCDA2"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0.209**</w:t>
            </w:r>
          </w:p>
        </w:tc>
        <w:tc>
          <w:tcPr>
            <w:tcW w:w="1282" w:type="dxa"/>
            <w:tcBorders>
              <w:top w:val="nil"/>
              <w:left w:val="nil"/>
              <w:bottom w:val="nil"/>
              <w:right w:val="nil"/>
            </w:tcBorders>
          </w:tcPr>
          <w:p w14:paraId="03F6AFE0"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0.171*</w:t>
            </w:r>
          </w:p>
        </w:tc>
        <w:tc>
          <w:tcPr>
            <w:tcW w:w="1282" w:type="dxa"/>
            <w:tcBorders>
              <w:top w:val="nil"/>
              <w:left w:val="nil"/>
              <w:bottom w:val="nil"/>
              <w:right w:val="nil"/>
            </w:tcBorders>
          </w:tcPr>
          <w:p w14:paraId="29C5D24F"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0.104</w:t>
            </w:r>
          </w:p>
        </w:tc>
        <w:tc>
          <w:tcPr>
            <w:tcW w:w="1282" w:type="dxa"/>
            <w:tcBorders>
              <w:top w:val="nil"/>
              <w:left w:val="nil"/>
              <w:bottom w:val="nil"/>
              <w:right w:val="nil"/>
            </w:tcBorders>
          </w:tcPr>
          <w:p w14:paraId="2521E170"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0.043</w:t>
            </w:r>
          </w:p>
        </w:tc>
        <w:tc>
          <w:tcPr>
            <w:tcW w:w="1282" w:type="dxa"/>
            <w:tcBorders>
              <w:top w:val="nil"/>
              <w:left w:val="nil"/>
              <w:bottom w:val="nil"/>
              <w:right w:val="nil"/>
            </w:tcBorders>
          </w:tcPr>
          <w:p w14:paraId="1FD25D22"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0.024</w:t>
            </w:r>
          </w:p>
        </w:tc>
      </w:tr>
      <w:tr w:rsidR="00FF69D1" w:rsidRPr="00D8536D" w14:paraId="67700D7E" w14:textId="77777777" w:rsidTr="00E40471">
        <w:trPr>
          <w:gridAfter w:val="1"/>
          <w:wAfter w:w="1298" w:type="dxa"/>
          <w:trHeight w:val="309"/>
        </w:trPr>
        <w:tc>
          <w:tcPr>
            <w:tcW w:w="2250" w:type="dxa"/>
            <w:tcBorders>
              <w:top w:val="nil"/>
              <w:left w:val="nil"/>
              <w:bottom w:val="nil"/>
              <w:right w:val="nil"/>
            </w:tcBorders>
          </w:tcPr>
          <w:p w14:paraId="4273FC5E"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p>
        </w:tc>
        <w:tc>
          <w:tcPr>
            <w:tcW w:w="1282" w:type="dxa"/>
            <w:tcBorders>
              <w:top w:val="nil"/>
              <w:left w:val="nil"/>
              <w:bottom w:val="nil"/>
              <w:right w:val="nil"/>
            </w:tcBorders>
          </w:tcPr>
          <w:p w14:paraId="76A58AB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(0.092)</w:t>
            </w:r>
          </w:p>
        </w:tc>
        <w:tc>
          <w:tcPr>
            <w:tcW w:w="1282" w:type="dxa"/>
            <w:tcBorders>
              <w:top w:val="nil"/>
              <w:left w:val="nil"/>
              <w:bottom w:val="nil"/>
              <w:right w:val="nil"/>
            </w:tcBorders>
          </w:tcPr>
          <w:p w14:paraId="47C8B11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(0.081)</w:t>
            </w:r>
          </w:p>
        </w:tc>
        <w:tc>
          <w:tcPr>
            <w:tcW w:w="1282" w:type="dxa"/>
            <w:tcBorders>
              <w:top w:val="nil"/>
              <w:left w:val="nil"/>
              <w:bottom w:val="nil"/>
              <w:right w:val="nil"/>
            </w:tcBorders>
          </w:tcPr>
          <w:p w14:paraId="793F2C0D"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(0.083)</w:t>
            </w:r>
          </w:p>
        </w:tc>
        <w:tc>
          <w:tcPr>
            <w:tcW w:w="1282" w:type="dxa"/>
            <w:tcBorders>
              <w:top w:val="nil"/>
              <w:left w:val="nil"/>
              <w:bottom w:val="nil"/>
              <w:right w:val="nil"/>
            </w:tcBorders>
          </w:tcPr>
          <w:p w14:paraId="0789E75C"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(0.078)</w:t>
            </w:r>
          </w:p>
        </w:tc>
        <w:tc>
          <w:tcPr>
            <w:tcW w:w="1282" w:type="dxa"/>
            <w:tcBorders>
              <w:top w:val="nil"/>
              <w:left w:val="nil"/>
              <w:bottom w:val="nil"/>
              <w:right w:val="nil"/>
            </w:tcBorders>
          </w:tcPr>
          <w:p w14:paraId="507D78FB"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(0.096)</w:t>
            </w:r>
          </w:p>
        </w:tc>
        <w:tc>
          <w:tcPr>
            <w:tcW w:w="1282" w:type="dxa"/>
            <w:tcBorders>
              <w:top w:val="nil"/>
              <w:left w:val="nil"/>
              <w:bottom w:val="nil"/>
              <w:right w:val="nil"/>
            </w:tcBorders>
          </w:tcPr>
          <w:p w14:paraId="789716BD"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(0.101)</w:t>
            </w:r>
          </w:p>
        </w:tc>
        <w:tc>
          <w:tcPr>
            <w:tcW w:w="1282" w:type="dxa"/>
            <w:tcBorders>
              <w:top w:val="nil"/>
              <w:left w:val="nil"/>
              <w:bottom w:val="nil"/>
              <w:right w:val="nil"/>
            </w:tcBorders>
          </w:tcPr>
          <w:p w14:paraId="57503D88"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(0.099)</w:t>
            </w:r>
          </w:p>
        </w:tc>
        <w:tc>
          <w:tcPr>
            <w:tcW w:w="1282" w:type="dxa"/>
            <w:tcBorders>
              <w:top w:val="nil"/>
              <w:left w:val="nil"/>
              <w:bottom w:val="nil"/>
              <w:right w:val="nil"/>
            </w:tcBorders>
          </w:tcPr>
          <w:p w14:paraId="3C556166"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(0.118)</w:t>
            </w:r>
          </w:p>
        </w:tc>
        <w:tc>
          <w:tcPr>
            <w:tcW w:w="1282" w:type="dxa"/>
            <w:tcBorders>
              <w:top w:val="nil"/>
              <w:left w:val="nil"/>
              <w:bottom w:val="nil"/>
              <w:right w:val="nil"/>
            </w:tcBorders>
          </w:tcPr>
          <w:p w14:paraId="32865B79"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(0.185)</w:t>
            </w:r>
          </w:p>
        </w:tc>
      </w:tr>
      <w:tr w:rsidR="00FF69D1" w:rsidRPr="00D8536D" w14:paraId="2C99BC12" w14:textId="77777777" w:rsidTr="00E40471">
        <w:trPr>
          <w:gridAfter w:val="1"/>
          <w:wAfter w:w="1298" w:type="dxa"/>
          <w:trHeight w:val="309"/>
        </w:trPr>
        <w:tc>
          <w:tcPr>
            <w:tcW w:w="2250" w:type="dxa"/>
            <w:tcBorders>
              <w:top w:val="nil"/>
              <w:left w:val="nil"/>
              <w:bottom w:val="nil"/>
              <w:right w:val="nil"/>
            </w:tcBorders>
          </w:tcPr>
          <w:p w14:paraId="50C28120"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r>
              <w:rPr>
                <w:rFonts w:ascii="Times New Roman" w:hAnsi="Times New Roman"/>
                <w:szCs w:val="24"/>
              </w:rPr>
              <w:t>Agriculture</w:t>
            </w:r>
          </w:p>
        </w:tc>
        <w:tc>
          <w:tcPr>
            <w:tcW w:w="1282" w:type="dxa"/>
            <w:tcBorders>
              <w:top w:val="nil"/>
              <w:left w:val="nil"/>
              <w:bottom w:val="nil"/>
              <w:right w:val="nil"/>
            </w:tcBorders>
          </w:tcPr>
          <w:p w14:paraId="50E0871C"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-0.418***</w:t>
            </w:r>
          </w:p>
        </w:tc>
        <w:tc>
          <w:tcPr>
            <w:tcW w:w="1282" w:type="dxa"/>
            <w:tcBorders>
              <w:top w:val="nil"/>
              <w:left w:val="nil"/>
              <w:bottom w:val="nil"/>
              <w:right w:val="nil"/>
            </w:tcBorders>
          </w:tcPr>
          <w:p w14:paraId="50AC18E2"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-0.460***</w:t>
            </w:r>
          </w:p>
        </w:tc>
        <w:tc>
          <w:tcPr>
            <w:tcW w:w="1282" w:type="dxa"/>
            <w:tcBorders>
              <w:top w:val="nil"/>
              <w:left w:val="nil"/>
              <w:bottom w:val="nil"/>
              <w:right w:val="nil"/>
            </w:tcBorders>
          </w:tcPr>
          <w:p w14:paraId="75437C87"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-0.612***</w:t>
            </w:r>
          </w:p>
        </w:tc>
        <w:tc>
          <w:tcPr>
            <w:tcW w:w="1282" w:type="dxa"/>
            <w:tcBorders>
              <w:top w:val="nil"/>
              <w:left w:val="nil"/>
              <w:bottom w:val="nil"/>
              <w:right w:val="nil"/>
            </w:tcBorders>
          </w:tcPr>
          <w:p w14:paraId="390D2C7F"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-0.713***</w:t>
            </w:r>
          </w:p>
        </w:tc>
        <w:tc>
          <w:tcPr>
            <w:tcW w:w="1282" w:type="dxa"/>
            <w:tcBorders>
              <w:top w:val="nil"/>
              <w:left w:val="nil"/>
              <w:bottom w:val="nil"/>
              <w:right w:val="nil"/>
            </w:tcBorders>
          </w:tcPr>
          <w:p w14:paraId="4970DBE1"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-0.748***</w:t>
            </w:r>
          </w:p>
        </w:tc>
        <w:tc>
          <w:tcPr>
            <w:tcW w:w="1282" w:type="dxa"/>
            <w:tcBorders>
              <w:top w:val="nil"/>
              <w:left w:val="nil"/>
              <w:bottom w:val="nil"/>
              <w:right w:val="nil"/>
            </w:tcBorders>
          </w:tcPr>
          <w:p w14:paraId="09B0151E"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-0.790***</w:t>
            </w:r>
          </w:p>
        </w:tc>
        <w:tc>
          <w:tcPr>
            <w:tcW w:w="1282" w:type="dxa"/>
            <w:tcBorders>
              <w:top w:val="nil"/>
              <w:left w:val="nil"/>
              <w:bottom w:val="nil"/>
              <w:right w:val="nil"/>
            </w:tcBorders>
          </w:tcPr>
          <w:p w14:paraId="4326D339"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-0.886***</w:t>
            </w:r>
          </w:p>
        </w:tc>
        <w:tc>
          <w:tcPr>
            <w:tcW w:w="1282" w:type="dxa"/>
            <w:tcBorders>
              <w:top w:val="nil"/>
              <w:left w:val="nil"/>
              <w:bottom w:val="nil"/>
              <w:right w:val="nil"/>
            </w:tcBorders>
          </w:tcPr>
          <w:p w14:paraId="43821BCE"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-0.958***</w:t>
            </w:r>
          </w:p>
        </w:tc>
        <w:tc>
          <w:tcPr>
            <w:tcW w:w="1282" w:type="dxa"/>
            <w:tcBorders>
              <w:top w:val="nil"/>
              <w:left w:val="nil"/>
              <w:bottom w:val="nil"/>
              <w:right w:val="nil"/>
            </w:tcBorders>
          </w:tcPr>
          <w:p w14:paraId="71718F77" w14:textId="77777777" w:rsidR="00FF69D1" w:rsidRPr="0073049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73049D">
              <w:rPr>
                <w:rFonts w:ascii="Times New Roman" w:hAnsi="Times New Roman" w:cs="Times New Roman"/>
                <w:szCs w:val="24"/>
              </w:rPr>
              <w:t>-1.202***</w:t>
            </w:r>
          </w:p>
        </w:tc>
      </w:tr>
      <w:tr w:rsidR="00FF69D1" w:rsidRPr="00D8536D" w14:paraId="49D42135" w14:textId="77777777" w:rsidTr="00E40471">
        <w:trPr>
          <w:gridAfter w:val="1"/>
          <w:wAfter w:w="1298" w:type="dxa"/>
          <w:trHeight w:val="326"/>
        </w:trPr>
        <w:tc>
          <w:tcPr>
            <w:tcW w:w="2250" w:type="dxa"/>
            <w:tcBorders>
              <w:top w:val="nil"/>
              <w:left w:val="nil"/>
              <w:bottom w:val="nil"/>
              <w:right w:val="nil"/>
            </w:tcBorders>
          </w:tcPr>
          <w:p w14:paraId="20D0D17D"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p>
        </w:tc>
        <w:tc>
          <w:tcPr>
            <w:tcW w:w="1282" w:type="dxa"/>
            <w:tcBorders>
              <w:top w:val="nil"/>
              <w:left w:val="nil"/>
              <w:bottom w:val="nil"/>
              <w:right w:val="nil"/>
            </w:tcBorders>
          </w:tcPr>
          <w:p w14:paraId="06015ED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(0.047)</w:t>
            </w:r>
          </w:p>
        </w:tc>
        <w:tc>
          <w:tcPr>
            <w:tcW w:w="1282" w:type="dxa"/>
            <w:tcBorders>
              <w:top w:val="nil"/>
              <w:left w:val="nil"/>
              <w:bottom w:val="nil"/>
              <w:right w:val="nil"/>
            </w:tcBorders>
          </w:tcPr>
          <w:p w14:paraId="7D9F001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(0.042)</w:t>
            </w:r>
          </w:p>
        </w:tc>
        <w:tc>
          <w:tcPr>
            <w:tcW w:w="1282" w:type="dxa"/>
            <w:tcBorders>
              <w:top w:val="nil"/>
              <w:left w:val="nil"/>
              <w:bottom w:val="nil"/>
              <w:right w:val="nil"/>
            </w:tcBorders>
          </w:tcPr>
          <w:p w14:paraId="57D36AD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(0.042)</w:t>
            </w:r>
          </w:p>
        </w:tc>
        <w:tc>
          <w:tcPr>
            <w:tcW w:w="1282" w:type="dxa"/>
            <w:tcBorders>
              <w:top w:val="nil"/>
              <w:left w:val="nil"/>
              <w:bottom w:val="nil"/>
              <w:right w:val="nil"/>
            </w:tcBorders>
          </w:tcPr>
          <w:p w14:paraId="64B696F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(0.045)</w:t>
            </w:r>
          </w:p>
        </w:tc>
        <w:tc>
          <w:tcPr>
            <w:tcW w:w="1282" w:type="dxa"/>
            <w:tcBorders>
              <w:top w:val="nil"/>
              <w:left w:val="nil"/>
              <w:bottom w:val="nil"/>
              <w:right w:val="nil"/>
            </w:tcBorders>
          </w:tcPr>
          <w:p w14:paraId="4BC9776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(0.046)</w:t>
            </w:r>
          </w:p>
        </w:tc>
        <w:tc>
          <w:tcPr>
            <w:tcW w:w="1282" w:type="dxa"/>
            <w:tcBorders>
              <w:top w:val="nil"/>
              <w:left w:val="nil"/>
              <w:bottom w:val="nil"/>
              <w:right w:val="nil"/>
            </w:tcBorders>
          </w:tcPr>
          <w:p w14:paraId="0AF6EB83"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(0.049)</w:t>
            </w:r>
          </w:p>
        </w:tc>
        <w:tc>
          <w:tcPr>
            <w:tcW w:w="1282" w:type="dxa"/>
            <w:tcBorders>
              <w:top w:val="nil"/>
              <w:left w:val="nil"/>
              <w:bottom w:val="nil"/>
              <w:right w:val="nil"/>
            </w:tcBorders>
          </w:tcPr>
          <w:p w14:paraId="3DB5B77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(0.059)</w:t>
            </w:r>
          </w:p>
        </w:tc>
        <w:tc>
          <w:tcPr>
            <w:tcW w:w="1282" w:type="dxa"/>
            <w:tcBorders>
              <w:top w:val="nil"/>
              <w:left w:val="nil"/>
              <w:bottom w:val="nil"/>
              <w:right w:val="nil"/>
            </w:tcBorders>
          </w:tcPr>
          <w:p w14:paraId="7F4B1C06"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(0.062)</w:t>
            </w:r>
          </w:p>
        </w:tc>
        <w:tc>
          <w:tcPr>
            <w:tcW w:w="1282" w:type="dxa"/>
            <w:tcBorders>
              <w:top w:val="nil"/>
              <w:left w:val="nil"/>
              <w:bottom w:val="nil"/>
              <w:right w:val="nil"/>
            </w:tcBorders>
          </w:tcPr>
          <w:p w14:paraId="7F7F184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(0.091)</w:t>
            </w:r>
          </w:p>
        </w:tc>
      </w:tr>
      <w:tr w:rsidR="00FF69D1" w:rsidRPr="00D8536D" w14:paraId="7B66E551" w14:textId="77777777" w:rsidTr="00E40471">
        <w:trPr>
          <w:gridAfter w:val="1"/>
          <w:wAfter w:w="1298" w:type="dxa"/>
          <w:trHeight w:val="309"/>
        </w:trPr>
        <w:tc>
          <w:tcPr>
            <w:tcW w:w="2250" w:type="dxa"/>
            <w:tcBorders>
              <w:top w:val="nil"/>
              <w:left w:val="nil"/>
              <w:bottom w:val="nil"/>
              <w:right w:val="nil"/>
            </w:tcBorders>
          </w:tcPr>
          <w:p w14:paraId="6A0AC2FF"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r w:rsidRPr="00D8536D">
              <w:rPr>
                <w:rFonts w:ascii="Times New Roman" w:hAnsi="Times New Roman"/>
                <w:szCs w:val="24"/>
              </w:rPr>
              <w:t>Services</w:t>
            </w:r>
          </w:p>
        </w:tc>
        <w:tc>
          <w:tcPr>
            <w:tcW w:w="1282" w:type="dxa"/>
            <w:tcBorders>
              <w:top w:val="nil"/>
              <w:left w:val="nil"/>
              <w:bottom w:val="nil"/>
              <w:right w:val="nil"/>
            </w:tcBorders>
          </w:tcPr>
          <w:p w14:paraId="39E79B2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-0.049</w:t>
            </w:r>
          </w:p>
        </w:tc>
        <w:tc>
          <w:tcPr>
            <w:tcW w:w="1282" w:type="dxa"/>
            <w:tcBorders>
              <w:top w:val="nil"/>
              <w:left w:val="nil"/>
              <w:bottom w:val="nil"/>
              <w:right w:val="nil"/>
            </w:tcBorders>
          </w:tcPr>
          <w:p w14:paraId="05393F2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-0.008</w:t>
            </w:r>
          </w:p>
        </w:tc>
        <w:tc>
          <w:tcPr>
            <w:tcW w:w="1282" w:type="dxa"/>
            <w:tcBorders>
              <w:top w:val="nil"/>
              <w:left w:val="nil"/>
              <w:bottom w:val="nil"/>
              <w:right w:val="nil"/>
            </w:tcBorders>
          </w:tcPr>
          <w:p w14:paraId="0038964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-0.120</w:t>
            </w:r>
          </w:p>
        </w:tc>
        <w:tc>
          <w:tcPr>
            <w:tcW w:w="1282" w:type="dxa"/>
            <w:tcBorders>
              <w:top w:val="nil"/>
              <w:left w:val="nil"/>
              <w:bottom w:val="nil"/>
              <w:right w:val="nil"/>
            </w:tcBorders>
          </w:tcPr>
          <w:p w14:paraId="15EA1D3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-0.169*</w:t>
            </w:r>
          </w:p>
        </w:tc>
        <w:tc>
          <w:tcPr>
            <w:tcW w:w="1282" w:type="dxa"/>
            <w:tcBorders>
              <w:top w:val="nil"/>
              <w:left w:val="nil"/>
              <w:bottom w:val="nil"/>
              <w:right w:val="nil"/>
            </w:tcBorders>
          </w:tcPr>
          <w:p w14:paraId="516F0D96"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-0.082</w:t>
            </w:r>
          </w:p>
        </w:tc>
        <w:tc>
          <w:tcPr>
            <w:tcW w:w="1282" w:type="dxa"/>
            <w:tcBorders>
              <w:top w:val="nil"/>
              <w:left w:val="nil"/>
              <w:bottom w:val="nil"/>
              <w:right w:val="nil"/>
            </w:tcBorders>
          </w:tcPr>
          <w:p w14:paraId="2C69167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-0.015</w:t>
            </w:r>
          </w:p>
        </w:tc>
        <w:tc>
          <w:tcPr>
            <w:tcW w:w="1282" w:type="dxa"/>
            <w:tcBorders>
              <w:top w:val="nil"/>
              <w:left w:val="nil"/>
              <w:bottom w:val="nil"/>
              <w:right w:val="nil"/>
            </w:tcBorders>
          </w:tcPr>
          <w:p w14:paraId="568F3FD3"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-0.045</w:t>
            </w:r>
          </w:p>
        </w:tc>
        <w:tc>
          <w:tcPr>
            <w:tcW w:w="1282" w:type="dxa"/>
            <w:tcBorders>
              <w:top w:val="nil"/>
              <w:left w:val="nil"/>
              <w:bottom w:val="nil"/>
              <w:right w:val="nil"/>
            </w:tcBorders>
          </w:tcPr>
          <w:p w14:paraId="509059C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-0.113</w:t>
            </w:r>
          </w:p>
        </w:tc>
        <w:tc>
          <w:tcPr>
            <w:tcW w:w="1282" w:type="dxa"/>
            <w:tcBorders>
              <w:top w:val="nil"/>
              <w:left w:val="nil"/>
              <w:bottom w:val="nil"/>
              <w:right w:val="nil"/>
            </w:tcBorders>
          </w:tcPr>
          <w:p w14:paraId="4CD0A56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-0.127</w:t>
            </w:r>
          </w:p>
        </w:tc>
      </w:tr>
      <w:tr w:rsidR="00FF69D1" w:rsidRPr="00D8536D" w14:paraId="259EC0B1" w14:textId="77777777" w:rsidTr="00E40471">
        <w:trPr>
          <w:gridAfter w:val="1"/>
          <w:wAfter w:w="1298" w:type="dxa"/>
          <w:trHeight w:val="326"/>
        </w:trPr>
        <w:tc>
          <w:tcPr>
            <w:tcW w:w="2250" w:type="dxa"/>
            <w:tcBorders>
              <w:top w:val="nil"/>
              <w:left w:val="nil"/>
              <w:bottom w:val="nil"/>
              <w:right w:val="nil"/>
            </w:tcBorders>
          </w:tcPr>
          <w:p w14:paraId="35784066"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p>
        </w:tc>
        <w:tc>
          <w:tcPr>
            <w:tcW w:w="1282" w:type="dxa"/>
            <w:tcBorders>
              <w:top w:val="nil"/>
              <w:left w:val="nil"/>
              <w:bottom w:val="nil"/>
              <w:right w:val="nil"/>
            </w:tcBorders>
          </w:tcPr>
          <w:p w14:paraId="614B592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(0.105)</w:t>
            </w:r>
          </w:p>
        </w:tc>
        <w:tc>
          <w:tcPr>
            <w:tcW w:w="1282" w:type="dxa"/>
            <w:tcBorders>
              <w:top w:val="nil"/>
              <w:left w:val="nil"/>
              <w:bottom w:val="nil"/>
              <w:right w:val="nil"/>
            </w:tcBorders>
          </w:tcPr>
          <w:p w14:paraId="22A80DAD"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(0.096)</w:t>
            </w:r>
          </w:p>
        </w:tc>
        <w:tc>
          <w:tcPr>
            <w:tcW w:w="1282" w:type="dxa"/>
            <w:tcBorders>
              <w:top w:val="nil"/>
              <w:left w:val="nil"/>
              <w:bottom w:val="nil"/>
              <w:right w:val="nil"/>
            </w:tcBorders>
          </w:tcPr>
          <w:p w14:paraId="24217DE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(0.086)</w:t>
            </w:r>
          </w:p>
        </w:tc>
        <w:tc>
          <w:tcPr>
            <w:tcW w:w="1282" w:type="dxa"/>
            <w:tcBorders>
              <w:top w:val="nil"/>
              <w:left w:val="nil"/>
              <w:bottom w:val="nil"/>
              <w:right w:val="nil"/>
            </w:tcBorders>
          </w:tcPr>
          <w:p w14:paraId="33E757B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(0.093)</w:t>
            </w:r>
          </w:p>
        </w:tc>
        <w:tc>
          <w:tcPr>
            <w:tcW w:w="1282" w:type="dxa"/>
            <w:tcBorders>
              <w:top w:val="nil"/>
              <w:left w:val="nil"/>
              <w:bottom w:val="nil"/>
              <w:right w:val="nil"/>
            </w:tcBorders>
          </w:tcPr>
          <w:p w14:paraId="4D1CD0A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(0.107)</w:t>
            </w:r>
          </w:p>
        </w:tc>
        <w:tc>
          <w:tcPr>
            <w:tcW w:w="1282" w:type="dxa"/>
            <w:tcBorders>
              <w:top w:val="nil"/>
              <w:left w:val="nil"/>
              <w:bottom w:val="nil"/>
              <w:right w:val="nil"/>
            </w:tcBorders>
          </w:tcPr>
          <w:p w14:paraId="657EB52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(0.111)</w:t>
            </w:r>
          </w:p>
        </w:tc>
        <w:tc>
          <w:tcPr>
            <w:tcW w:w="1282" w:type="dxa"/>
            <w:tcBorders>
              <w:top w:val="nil"/>
              <w:left w:val="nil"/>
              <w:bottom w:val="nil"/>
              <w:right w:val="nil"/>
            </w:tcBorders>
          </w:tcPr>
          <w:p w14:paraId="48F92C8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(0.104)</w:t>
            </w:r>
          </w:p>
        </w:tc>
        <w:tc>
          <w:tcPr>
            <w:tcW w:w="1282" w:type="dxa"/>
            <w:tcBorders>
              <w:top w:val="nil"/>
              <w:left w:val="nil"/>
              <w:bottom w:val="nil"/>
              <w:right w:val="nil"/>
            </w:tcBorders>
          </w:tcPr>
          <w:p w14:paraId="1A2E253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(0.119)</w:t>
            </w:r>
          </w:p>
        </w:tc>
        <w:tc>
          <w:tcPr>
            <w:tcW w:w="1282" w:type="dxa"/>
            <w:tcBorders>
              <w:top w:val="nil"/>
              <w:left w:val="nil"/>
              <w:bottom w:val="nil"/>
              <w:right w:val="nil"/>
            </w:tcBorders>
          </w:tcPr>
          <w:p w14:paraId="77557CB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(0.168)</w:t>
            </w:r>
          </w:p>
        </w:tc>
      </w:tr>
      <w:tr w:rsidR="00FF69D1" w:rsidRPr="00D8536D" w14:paraId="0A38D38B" w14:textId="77777777" w:rsidTr="00E40471">
        <w:trPr>
          <w:gridAfter w:val="1"/>
          <w:wAfter w:w="1298" w:type="dxa"/>
          <w:trHeight w:val="309"/>
        </w:trPr>
        <w:tc>
          <w:tcPr>
            <w:tcW w:w="2250" w:type="dxa"/>
            <w:tcBorders>
              <w:top w:val="nil"/>
              <w:left w:val="nil"/>
              <w:bottom w:val="nil"/>
              <w:right w:val="nil"/>
            </w:tcBorders>
          </w:tcPr>
          <w:p w14:paraId="565306F6"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r w:rsidRPr="00D8536D">
              <w:rPr>
                <w:rFonts w:ascii="Times New Roman" w:hAnsi="Times New Roman"/>
                <w:szCs w:val="24"/>
              </w:rPr>
              <w:t>Manual labour</w:t>
            </w:r>
          </w:p>
        </w:tc>
        <w:tc>
          <w:tcPr>
            <w:tcW w:w="1282" w:type="dxa"/>
            <w:tcBorders>
              <w:top w:val="nil"/>
              <w:left w:val="nil"/>
              <w:bottom w:val="nil"/>
              <w:right w:val="nil"/>
            </w:tcBorders>
          </w:tcPr>
          <w:p w14:paraId="4A3F023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-0.194***</w:t>
            </w:r>
          </w:p>
        </w:tc>
        <w:tc>
          <w:tcPr>
            <w:tcW w:w="1282" w:type="dxa"/>
            <w:tcBorders>
              <w:top w:val="nil"/>
              <w:left w:val="nil"/>
              <w:bottom w:val="nil"/>
              <w:right w:val="nil"/>
            </w:tcBorders>
          </w:tcPr>
          <w:p w14:paraId="6E4461E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-0.290***</w:t>
            </w:r>
          </w:p>
        </w:tc>
        <w:tc>
          <w:tcPr>
            <w:tcW w:w="1282" w:type="dxa"/>
            <w:tcBorders>
              <w:top w:val="nil"/>
              <w:left w:val="nil"/>
              <w:bottom w:val="nil"/>
              <w:right w:val="nil"/>
            </w:tcBorders>
          </w:tcPr>
          <w:p w14:paraId="506BB82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-0.386***</w:t>
            </w:r>
          </w:p>
        </w:tc>
        <w:tc>
          <w:tcPr>
            <w:tcW w:w="1282" w:type="dxa"/>
            <w:tcBorders>
              <w:top w:val="nil"/>
              <w:left w:val="nil"/>
              <w:bottom w:val="nil"/>
              <w:right w:val="nil"/>
            </w:tcBorders>
          </w:tcPr>
          <w:p w14:paraId="4F855C1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-0.435***</w:t>
            </w:r>
          </w:p>
        </w:tc>
        <w:tc>
          <w:tcPr>
            <w:tcW w:w="1282" w:type="dxa"/>
            <w:tcBorders>
              <w:top w:val="nil"/>
              <w:left w:val="nil"/>
              <w:bottom w:val="nil"/>
              <w:right w:val="nil"/>
            </w:tcBorders>
          </w:tcPr>
          <w:p w14:paraId="4A2B55C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-0.490***</w:t>
            </w:r>
          </w:p>
        </w:tc>
        <w:tc>
          <w:tcPr>
            <w:tcW w:w="1282" w:type="dxa"/>
            <w:tcBorders>
              <w:top w:val="nil"/>
              <w:left w:val="nil"/>
              <w:bottom w:val="nil"/>
              <w:right w:val="nil"/>
            </w:tcBorders>
          </w:tcPr>
          <w:p w14:paraId="7B8637D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-0.539***</w:t>
            </w:r>
          </w:p>
        </w:tc>
        <w:tc>
          <w:tcPr>
            <w:tcW w:w="1282" w:type="dxa"/>
            <w:tcBorders>
              <w:top w:val="nil"/>
              <w:left w:val="nil"/>
              <w:bottom w:val="nil"/>
              <w:right w:val="nil"/>
            </w:tcBorders>
          </w:tcPr>
          <w:p w14:paraId="6719F63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-0.611***</w:t>
            </w:r>
          </w:p>
        </w:tc>
        <w:tc>
          <w:tcPr>
            <w:tcW w:w="1282" w:type="dxa"/>
            <w:tcBorders>
              <w:top w:val="nil"/>
              <w:left w:val="nil"/>
              <w:bottom w:val="nil"/>
              <w:right w:val="nil"/>
            </w:tcBorders>
          </w:tcPr>
          <w:p w14:paraId="6A06BEFE"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-0.659***</w:t>
            </w:r>
          </w:p>
        </w:tc>
        <w:tc>
          <w:tcPr>
            <w:tcW w:w="1282" w:type="dxa"/>
            <w:tcBorders>
              <w:top w:val="nil"/>
              <w:left w:val="nil"/>
              <w:bottom w:val="nil"/>
              <w:right w:val="nil"/>
            </w:tcBorders>
          </w:tcPr>
          <w:p w14:paraId="1FDA068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-0.651***</w:t>
            </w:r>
          </w:p>
        </w:tc>
      </w:tr>
      <w:tr w:rsidR="00FF69D1" w:rsidRPr="00D8536D" w14:paraId="2B2D75ED" w14:textId="77777777" w:rsidTr="00E40471">
        <w:trPr>
          <w:gridAfter w:val="1"/>
          <w:wAfter w:w="1298" w:type="dxa"/>
          <w:trHeight w:val="309"/>
        </w:trPr>
        <w:tc>
          <w:tcPr>
            <w:tcW w:w="2250" w:type="dxa"/>
            <w:tcBorders>
              <w:top w:val="nil"/>
              <w:left w:val="nil"/>
              <w:bottom w:val="nil"/>
              <w:right w:val="nil"/>
            </w:tcBorders>
          </w:tcPr>
          <w:p w14:paraId="411829F4" w14:textId="77777777" w:rsidR="00FF69D1" w:rsidRPr="00D8536D" w:rsidRDefault="00FF69D1" w:rsidP="00F7734A">
            <w:pPr>
              <w:widowControl w:val="0"/>
              <w:autoSpaceDE w:val="0"/>
              <w:autoSpaceDN w:val="0"/>
              <w:adjustRightInd w:val="0"/>
              <w:spacing w:after="0" w:line="276" w:lineRule="auto"/>
              <w:rPr>
                <w:rFonts w:ascii="Times New Roman" w:hAnsi="Times New Roman" w:cs="Times New Roman"/>
                <w:szCs w:val="24"/>
              </w:rPr>
            </w:pPr>
          </w:p>
        </w:tc>
        <w:tc>
          <w:tcPr>
            <w:tcW w:w="1282" w:type="dxa"/>
            <w:tcBorders>
              <w:top w:val="nil"/>
              <w:left w:val="nil"/>
              <w:bottom w:val="nil"/>
              <w:right w:val="nil"/>
            </w:tcBorders>
          </w:tcPr>
          <w:p w14:paraId="570E40C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(0.069)</w:t>
            </w:r>
          </w:p>
        </w:tc>
        <w:tc>
          <w:tcPr>
            <w:tcW w:w="1282" w:type="dxa"/>
            <w:tcBorders>
              <w:top w:val="nil"/>
              <w:left w:val="nil"/>
              <w:bottom w:val="nil"/>
              <w:right w:val="nil"/>
            </w:tcBorders>
          </w:tcPr>
          <w:p w14:paraId="58D88CB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(0.067)</w:t>
            </w:r>
          </w:p>
        </w:tc>
        <w:tc>
          <w:tcPr>
            <w:tcW w:w="1282" w:type="dxa"/>
            <w:tcBorders>
              <w:top w:val="nil"/>
              <w:left w:val="nil"/>
              <w:bottom w:val="nil"/>
              <w:right w:val="nil"/>
            </w:tcBorders>
          </w:tcPr>
          <w:p w14:paraId="069AB0E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(0.064)</w:t>
            </w:r>
          </w:p>
        </w:tc>
        <w:tc>
          <w:tcPr>
            <w:tcW w:w="1282" w:type="dxa"/>
            <w:tcBorders>
              <w:top w:val="nil"/>
              <w:left w:val="nil"/>
              <w:bottom w:val="nil"/>
              <w:right w:val="nil"/>
            </w:tcBorders>
          </w:tcPr>
          <w:p w14:paraId="7780794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(0.069)</w:t>
            </w:r>
          </w:p>
        </w:tc>
        <w:tc>
          <w:tcPr>
            <w:tcW w:w="1282" w:type="dxa"/>
            <w:tcBorders>
              <w:top w:val="nil"/>
              <w:left w:val="nil"/>
              <w:bottom w:val="nil"/>
              <w:right w:val="nil"/>
            </w:tcBorders>
          </w:tcPr>
          <w:p w14:paraId="16B8CAC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(0.070)</w:t>
            </w:r>
          </w:p>
        </w:tc>
        <w:tc>
          <w:tcPr>
            <w:tcW w:w="1282" w:type="dxa"/>
            <w:tcBorders>
              <w:top w:val="nil"/>
              <w:left w:val="nil"/>
              <w:bottom w:val="nil"/>
              <w:right w:val="nil"/>
            </w:tcBorders>
          </w:tcPr>
          <w:p w14:paraId="4A48A44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(0.075)</w:t>
            </w:r>
          </w:p>
        </w:tc>
        <w:tc>
          <w:tcPr>
            <w:tcW w:w="1282" w:type="dxa"/>
            <w:tcBorders>
              <w:top w:val="nil"/>
              <w:left w:val="nil"/>
              <w:bottom w:val="nil"/>
              <w:right w:val="nil"/>
            </w:tcBorders>
          </w:tcPr>
          <w:p w14:paraId="5FD37CD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(0.083)</w:t>
            </w:r>
          </w:p>
        </w:tc>
        <w:tc>
          <w:tcPr>
            <w:tcW w:w="1282" w:type="dxa"/>
            <w:tcBorders>
              <w:top w:val="nil"/>
              <w:left w:val="nil"/>
              <w:bottom w:val="nil"/>
              <w:right w:val="nil"/>
            </w:tcBorders>
          </w:tcPr>
          <w:p w14:paraId="4F69AC7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(0.097)</w:t>
            </w:r>
          </w:p>
        </w:tc>
        <w:tc>
          <w:tcPr>
            <w:tcW w:w="1282" w:type="dxa"/>
            <w:tcBorders>
              <w:top w:val="nil"/>
              <w:left w:val="nil"/>
              <w:bottom w:val="nil"/>
              <w:right w:val="nil"/>
            </w:tcBorders>
          </w:tcPr>
          <w:p w14:paraId="2409E89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(0.169)</w:t>
            </w:r>
          </w:p>
        </w:tc>
      </w:tr>
      <w:tr w:rsidR="00FF69D1" w:rsidRPr="00D8536D" w14:paraId="4544DBFC" w14:textId="77777777" w:rsidTr="00E40471">
        <w:trPr>
          <w:gridAfter w:val="1"/>
          <w:wAfter w:w="1298" w:type="dxa"/>
          <w:trHeight w:val="326"/>
        </w:trPr>
        <w:tc>
          <w:tcPr>
            <w:tcW w:w="2250" w:type="dxa"/>
            <w:tcBorders>
              <w:top w:val="nil"/>
              <w:left w:val="nil"/>
              <w:bottom w:val="nil"/>
              <w:right w:val="nil"/>
            </w:tcBorders>
          </w:tcPr>
          <w:p w14:paraId="0A11C2FE"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cs="Times New Roman"/>
                <w:szCs w:val="24"/>
              </w:rPr>
              <w:t>Constant</w:t>
            </w:r>
          </w:p>
        </w:tc>
        <w:tc>
          <w:tcPr>
            <w:tcW w:w="1282" w:type="dxa"/>
            <w:tcBorders>
              <w:top w:val="nil"/>
              <w:left w:val="nil"/>
              <w:bottom w:val="nil"/>
              <w:right w:val="nil"/>
            </w:tcBorders>
          </w:tcPr>
          <w:p w14:paraId="66723F1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11.125***</w:t>
            </w:r>
          </w:p>
        </w:tc>
        <w:tc>
          <w:tcPr>
            <w:tcW w:w="1282" w:type="dxa"/>
            <w:tcBorders>
              <w:top w:val="nil"/>
              <w:left w:val="nil"/>
              <w:bottom w:val="nil"/>
              <w:right w:val="nil"/>
            </w:tcBorders>
          </w:tcPr>
          <w:p w14:paraId="47EB7E1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11.133***</w:t>
            </w:r>
          </w:p>
        </w:tc>
        <w:tc>
          <w:tcPr>
            <w:tcW w:w="1282" w:type="dxa"/>
            <w:tcBorders>
              <w:top w:val="nil"/>
              <w:left w:val="nil"/>
              <w:bottom w:val="nil"/>
              <w:right w:val="nil"/>
            </w:tcBorders>
          </w:tcPr>
          <w:p w14:paraId="30513AA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11.317***</w:t>
            </w:r>
          </w:p>
        </w:tc>
        <w:tc>
          <w:tcPr>
            <w:tcW w:w="1282" w:type="dxa"/>
            <w:tcBorders>
              <w:top w:val="nil"/>
              <w:left w:val="nil"/>
              <w:bottom w:val="nil"/>
              <w:right w:val="nil"/>
            </w:tcBorders>
          </w:tcPr>
          <w:p w14:paraId="3744140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11.295***</w:t>
            </w:r>
          </w:p>
        </w:tc>
        <w:tc>
          <w:tcPr>
            <w:tcW w:w="1282" w:type="dxa"/>
            <w:tcBorders>
              <w:top w:val="nil"/>
              <w:left w:val="nil"/>
              <w:bottom w:val="nil"/>
              <w:right w:val="nil"/>
            </w:tcBorders>
          </w:tcPr>
          <w:p w14:paraId="49C01D1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11.365***</w:t>
            </w:r>
          </w:p>
        </w:tc>
        <w:tc>
          <w:tcPr>
            <w:tcW w:w="1282" w:type="dxa"/>
            <w:tcBorders>
              <w:top w:val="nil"/>
              <w:left w:val="nil"/>
              <w:bottom w:val="nil"/>
              <w:right w:val="nil"/>
            </w:tcBorders>
          </w:tcPr>
          <w:p w14:paraId="6A28D41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11.558***</w:t>
            </w:r>
          </w:p>
        </w:tc>
        <w:tc>
          <w:tcPr>
            <w:tcW w:w="1282" w:type="dxa"/>
            <w:tcBorders>
              <w:top w:val="nil"/>
              <w:left w:val="nil"/>
              <w:bottom w:val="nil"/>
              <w:right w:val="nil"/>
            </w:tcBorders>
          </w:tcPr>
          <w:p w14:paraId="3B5C92C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11.928***</w:t>
            </w:r>
          </w:p>
        </w:tc>
        <w:tc>
          <w:tcPr>
            <w:tcW w:w="1282" w:type="dxa"/>
            <w:tcBorders>
              <w:top w:val="nil"/>
              <w:left w:val="nil"/>
              <w:bottom w:val="nil"/>
              <w:right w:val="nil"/>
            </w:tcBorders>
          </w:tcPr>
          <w:p w14:paraId="6977A6C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11.633***</w:t>
            </w:r>
          </w:p>
        </w:tc>
        <w:tc>
          <w:tcPr>
            <w:tcW w:w="1282" w:type="dxa"/>
            <w:tcBorders>
              <w:top w:val="nil"/>
              <w:left w:val="nil"/>
              <w:bottom w:val="nil"/>
              <w:right w:val="nil"/>
            </w:tcBorders>
          </w:tcPr>
          <w:p w14:paraId="2E45C28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11.376***</w:t>
            </w:r>
          </w:p>
        </w:tc>
      </w:tr>
      <w:tr w:rsidR="00FF69D1" w:rsidRPr="00D8536D" w14:paraId="2C870715" w14:textId="77777777" w:rsidTr="00E40471">
        <w:trPr>
          <w:gridAfter w:val="1"/>
          <w:wAfter w:w="1298" w:type="dxa"/>
          <w:trHeight w:val="309"/>
        </w:trPr>
        <w:tc>
          <w:tcPr>
            <w:tcW w:w="2250" w:type="dxa"/>
            <w:tcBorders>
              <w:top w:val="nil"/>
              <w:left w:val="nil"/>
              <w:bottom w:val="nil"/>
              <w:right w:val="nil"/>
            </w:tcBorders>
          </w:tcPr>
          <w:p w14:paraId="7DB820B2"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p>
        </w:tc>
        <w:tc>
          <w:tcPr>
            <w:tcW w:w="1282" w:type="dxa"/>
            <w:tcBorders>
              <w:top w:val="nil"/>
              <w:left w:val="nil"/>
              <w:bottom w:val="nil"/>
              <w:right w:val="nil"/>
            </w:tcBorders>
          </w:tcPr>
          <w:p w14:paraId="1BCB37D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(0.336)</w:t>
            </w:r>
          </w:p>
        </w:tc>
        <w:tc>
          <w:tcPr>
            <w:tcW w:w="1282" w:type="dxa"/>
            <w:tcBorders>
              <w:top w:val="nil"/>
              <w:left w:val="nil"/>
              <w:bottom w:val="nil"/>
              <w:right w:val="nil"/>
            </w:tcBorders>
          </w:tcPr>
          <w:p w14:paraId="5E28F6C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(0.292)</w:t>
            </w:r>
          </w:p>
        </w:tc>
        <w:tc>
          <w:tcPr>
            <w:tcW w:w="1282" w:type="dxa"/>
            <w:tcBorders>
              <w:top w:val="nil"/>
              <w:left w:val="nil"/>
              <w:bottom w:val="nil"/>
              <w:right w:val="nil"/>
            </w:tcBorders>
          </w:tcPr>
          <w:p w14:paraId="649151A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(0.271)</w:t>
            </w:r>
          </w:p>
        </w:tc>
        <w:tc>
          <w:tcPr>
            <w:tcW w:w="1282" w:type="dxa"/>
            <w:tcBorders>
              <w:top w:val="nil"/>
              <w:left w:val="nil"/>
              <w:bottom w:val="nil"/>
              <w:right w:val="nil"/>
            </w:tcBorders>
          </w:tcPr>
          <w:p w14:paraId="35F5F6BE"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(0.283)</w:t>
            </w:r>
          </w:p>
        </w:tc>
        <w:tc>
          <w:tcPr>
            <w:tcW w:w="1282" w:type="dxa"/>
            <w:tcBorders>
              <w:top w:val="nil"/>
              <w:left w:val="nil"/>
              <w:bottom w:val="nil"/>
              <w:right w:val="nil"/>
            </w:tcBorders>
          </w:tcPr>
          <w:p w14:paraId="38079BA9"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(0.304)</w:t>
            </w:r>
          </w:p>
        </w:tc>
        <w:tc>
          <w:tcPr>
            <w:tcW w:w="1282" w:type="dxa"/>
            <w:tcBorders>
              <w:top w:val="nil"/>
              <w:left w:val="nil"/>
              <w:bottom w:val="nil"/>
              <w:right w:val="nil"/>
            </w:tcBorders>
          </w:tcPr>
          <w:p w14:paraId="16EB648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(0.320)</w:t>
            </w:r>
          </w:p>
        </w:tc>
        <w:tc>
          <w:tcPr>
            <w:tcW w:w="1282" w:type="dxa"/>
            <w:tcBorders>
              <w:top w:val="nil"/>
              <w:left w:val="nil"/>
              <w:bottom w:val="nil"/>
              <w:right w:val="nil"/>
            </w:tcBorders>
          </w:tcPr>
          <w:p w14:paraId="5F7D8456"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(0.357)</w:t>
            </w:r>
          </w:p>
        </w:tc>
        <w:tc>
          <w:tcPr>
            <w:tcW w:w="1282" w:type="dxa"/>
            <w:tcBorders>
              <w:top w:val="nil"/>
              <w:left w:val="nil"/>
              <w:bottom w:val="nil"/>
              <w:right w:val="nil"/>
            </w:tcBorders>
          </w:tcPr>
          <w:p w14:paraId="6D4AAE8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(0.400)</w:t>
            </w:r>
          </w:p>
        </w:tc>
        <w:tc>
          <w:tcPr>
            <w:tcW w:w="1282" w:type="dxa"/>
            <w:tcBorders>
              <w:top w:val="nil"/>
              <w:left w:val="nil"/>
              <w:bottom w:val="nil"/>
              <w:right w:val="nil"/>
            </w:tcBorders>
          </w:tcPr>
          <w:p w14:paraId="651688B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(0.560)</w:t>
            </w:r>
          </w:p>
        </w:tc>
      </w:tr>
      <w:tr w:rsidR="00FF69D1" w:rsidRPr="00D8536D" w14:paraId="7ED6021E" w14:textId="77777777" w:rsidTr="00E40471">
        <w:trPr>
          <w:gridAfter w:val="1"/>
          <w:wAfter w:w="1298" w:type="dxa"/>
          <w:trHeight w:val="326"/>
        </w:trPr>
        <w:tc>
          <w:tcPr>
            <w:tcW w:w="2250" w:type="dxa"/>
            <w:tcBorders>
              <w:top w:val="nil"/>
              <w:left w:val="nil"/>
              <w:bottom w:val="nil"/>
              <w:right w:val="nil"/>
            </w:tcBorders>
          </w:tcPr>
          <w:p w14:paraId="5327721E"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cs="Times New Roman"/>
                <w:szCs w:val="24"/>
              </w:rPr>
              <w:t>Observations</w:t>
            </w:r>
          </w:p>
        </w:tc>
        <w:tc>
          <w:tcPr>
            <w:tcW w:w="1282" w:type="dxa"/>
            <w:tcBorders>
              <w:top w:val="nil"/>
              <w:left w:val="nil"/>
              <w:bottom w:val="nil"/>
              <w:right w:val="nil"/>
            </w:tcBorders>
          </w:tcPr>
          <w:p w14:paraId="2B51B94C"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793E6EA0"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6B26DE0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4D2137D1"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0E673574"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287A6587"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7A95C35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5E73852B"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c>
          <w:tcPr>
            <w:tcW w:w="1282" w:type="dxa"/>
            <w:tcBorders>
              <w:top w:val="nil"/>
              <w:left w:val="nil"/>
              <w:bottom w:val="nil"/>
              <w:right w:val="nil"/>
            </w:tcBorders>
          </w:tcPr>
          <w:p w14:paraId="10C8B50A"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73,025</w:t>
            </w:r>
          </w:p>
        </w:tc>
      </w:tr>
      <w:tr w:rsidR="00FF69D1" w:rsidRPr="00D8536D" w14:paraId="3D600218" w14:textId="77777777" w:rsidTr="00E40471">
        <w:tblPrEx>
          <w:tblBorders>
            <w:bottom w:val="single" w:sz="6" w:space="0" w:color="auto"/>
          </w:tblBorders>
        </w:tblPrEx>
        <w:trPr>
          <w:gridAfter w:val="1"/>
          <w:wAfter w:w="1298" w:type="dxa"/>
          <w:trHeight w:val="309"/>
        </w:trPr>
        <w:tc>
          <w:tcPr>
            <w:tcW w:w="2250" w:type="dxa"/>
            <w:tcBorders>
              <w:top w:val="nil"/>
              <w:left w:val="nil"/>
              <w:bottom w:val="single" w:sz="6" w:space="0" w:color="auto"/>
              <w:right w:val="nil"/>
            </w:tcBorders>
          </w:tcPr>
          <w:p w14:paraId="731C2FA8" w14:textId="77777777" w:rsidR="00FF69D1" w:rsidRPr="00D8536D" w:rsidRDefault="00FF69D1" w:rsidP="00F7734A">
            <w:pPr>
              <w:widowControl w:val="0"/>
              <w:autoSpaceDE w:val="0"/>
              <w:autoSpaceDN w:val="0"/>
              <w:adjustRightInd w:val="0"/>
              <w:spacing w:after="0" w:line="240" w:lineRule="auto"/>
              <w:rPr>
                <w:rFonts w:ascii="Times New Roman" w:hAnsi="Times New Roman" w:cs="Times New Roman"/>
                <w:szCs w:val="24"/>
              </w:rPr>
            </w:pPr>
            <w:r w:rsidRPr="00D8536D">
              <w:rPr>
                <w:rFonts w:ascii="Times New Roman" w:hAnsi="Times New Roman" w:cs="Times New Roman"/>
                <w:szCs w:val="24"/>
              </w:rPr>
              <w:t>R-squared</w:t>
            </w:r>
          </w:p>
        </w:tc>
        <w:tc>
          <w:tcPr>
            <w:tcW w:w="1282" w:type="dxa"/>
            <w:tcBorders>
              <w:top w:val="nil"/>
              <w:left w:val="nil"/>
              <w:bottom w:val="single" w:sz="6" w:space="0" w:color="auto"/>
              <w:right w:val="nil"/>
            </w:tcBorders>
          </w:tcPr>
          <w:p w14:paraId="1B5D3C7D"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0.123</w:t>
            </w:r>
          </w:p>
        </w:tc>
        <w:tc>
          <w:tcPr>
            <w:tcW w:w="1282" w:type="dxa"/>
            <w:tcBorders>
              <w:top w:val="nil"/>
              <w:left w:val="nil"/>
              <w:bottom w:val="single" w:sz="6" w:space="0" w:color="auto"/>
              <w:right w:val="nil"/>
            </w:tcBorders>
          </w:tcPr>
          <w:p w14:paraId="62E6560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0.129</w:t>
            </w:r>
          </w:p>
        </w:tc>
        <w:tc>
          <w:tcPr>
            <w:tcW w:w="1282" w:type="dxa"/>
            <w:tcBorders>
              <w:top w:val="nil"/>
              <w:left w:val="nil"/>
              <w:bottom w:val="single" w:sz="6" w:space="0" w:color="auto"/>
              <w:right w:val="nil"/>
            </w:tcBorders>
          </w:tcPr>
          <w:p w14:paraId="397E7952"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0.132</w:t>
            </w:r>
          </w:p>
        </w:tc>
        <w:tc>
          <w:tcPr>
            <w:tcW w:w="1282" w:type="dxa"/>
            <w:tcBorders>
              <w:top w:val="nil"/>
              <w:left w:val="nil"/>
              <w:bottom w:val="single" w:sz="6" w:space="0" w:color="auto"/>
              <w:right w:val="nil"/>
            </w:tcBorders>
          </w:tcPr>
          <w:p w14:paraId="44011C86"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0.134</w:t>
            </w:r>
          </w:p>
        </w:tc>
        <w:tc>
          <w:tcPr>
            <w:tcW w:w="1282" w:type="dxa"/>
            <w:tcBorders>
              <w:top w:val="nil"/>
              <w:left w:val="nil"/>
              <w:bottom w:val="single" w:sz="6" w:space="0" w:color="auto"/>
              <w:right w:val="nil"/>
            </w:tcBorders>
          </w:tcPr>
          <w:p w14:paraId="79B0236F"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0.134</w:t>
            </w:r>
          </w:p>
        </w:tc>
        <w:tc>
          <w:tcPr>
            <w:tcW w:w="1282" w:type="dxa"/>
            <w:tcBorders>
              <w:top w:val="nil"/>
              <w:left w:val="nil"/>
              <w:bottom w:val="single" w:sz="6" w:space="0" w:color="auto"/>
              <w:right w:val="nil"/>
            </w:tcBorders>
          </w:tcPr>
          <w:p w14:paraId="754C4298"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0.135</w:t>
            </w:r>
          </w:p>
        </w:tc>
        <w:tc>
          <w:tcPr>
            <w:tcW w:w="1282" w:type="dxa"/>
            <w:tcBorders>
              <w:top w:val="nil"/>
              <w:left w:val="nil"/>
              <w:bottom w:val="single" w:sz="6" w:space="0" w:color="auto"/>
              <w:right w:val="nil"/>
            </w:tcBorders>
          </w:tcPr>
          <w:p w14:paraId="09A3C95E"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0.134</w:t>
            </w:r>
          </w:p>
        </w:tc>
        <w:tc>
          <w:tcPr>
            <w:tcW w:w="1282" w:type="dxa"/>
            <w:tcBorders>
              <w:top w:val="nil"/>
              <w:left w:val="nil"/>
              <w:bottom w:val="single" w:sz="6" w:space="0" w:color="auto"/>
              <w:right w:val="nil"/>
            </w:tcBorders>
          </w:tcPr>
          <w:p w14:paraId="6B70D045"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0.134</w:t>
            </w:r>
          </w:p>
        </w:tc>
        <w:tc>
          <w:tcPr>
            <w:tcW w:w="1282" w:type="dxa"/>
            <w:tcBorders>
              <w:top w:val="nil"/>
              <w:left w:val="nil"/>
              <w:bottom w:val="single" w:sz="6" w:space="0" w:color="auto"/>
              <w:right w:val="nil"/>
            </w:tcBorders>
          </w:tcPr>
          <w:p w14:paraId="61F2DEF3" w14:textId="77777777" w:rsidR="00FF69D1" w:rsidRPr="00D8536D" w:rsidRDefault="00FF69D1" w:rsidP="00F7734A">
            <w:pPr>
              <w:widowControl w:val="0"/>
              <w:autoSpaceDE w:val="0"/>
              <w:autoSpaceDN w:val="0"/>
              <w:adjustRightInd w:val="0"/>
              <w:spacing w:after="0" w:line="240" w:lineRule="auto"/>
              <w:jc w:val="center"/>
              <w:rPr>
                <w:rFonts w:ascii="Times New Roman" w:hAnsi="Times New Roman" w:cs="Times New Roman"/>
                <w:szCs w:val="24"/>
              </w:rPr>
            </w:pPr>
            <w:r w:rsidRPr="00D8536D">
              <w:rPr>
                <w:rFonts w:ascii="Times New Roman" w:hAnsi="Times New Roman" w:cs="Times New Roman"/>
                <w:szCs w:val="24"/>
              </w:rPr>
              <w:t>0.133</w:t>
            </w:r>
          </w:p>
        </w:tc>
      </w:tr>
    </w:tbl>
    <w:p w14:paraId="273D2930" w14:textId="4AF2A6DC" w:rsidR="007731F6" w:rsidRPr="00F37589" w:rsidRDefault="004B18BB" w:rsidP="00F37589">
      <w:pPr>
        <w:spacing w:after="0" w:line="276" w:lineRule="auto"/>
        <w:jc w:val="center"/>
        <w:rPr>
          <w:rFonts w:ascii="Times New Roman" w:hAnsi="Times New Roman" w:cs="Times New Roman"/>
        </w:rPr>
        <w:sectPr w:rsidR="007731F6" w:rsidRPr="00F37589" w:rsidSect="007731F6">
          <w:pgSz w:w="16838" w:h="11906" w:orient="landscape"/>
          <w:pgMar w:top="1440" w:right="1440" w:bottom="1440" w:left="1440" w:header="709" w:footer="709" w:gutter="0"/>
          <w:cols w:space="708"/>
          <w:docGrid w:linePitch="360"/>
        </w:sectPr>
      </w:pPr>
      <w:r>
        <w:rPr>
          <w:rFonts w:ascii="Times New Roman" w:hAnsi="Times New Roman" w:cs="Times New Roman"/>
        </w:rPr>
        <w:t>Note: Standard errors are clustered at the primary sampling unit level and are shown in parentheses.</w:t>
      </w:r>
      <w:r w:rsidR="00F37589">
        <w:rPr>
          <w:rFonts w:ascii="Times New Roman" w:hAnsi="Times New Roman" w:cs="Times New Roman"/>
        </w:rPr>
        <w:t xml:space="preserve"> We </w:t>
      </w:r>
      <w:r w:rsidR="00497AE3">
        <w:rPr>
          <w:rFonts w:ascii="Times New Roman" w:hAnsi="Times New Roman" w:cs="Times New Roman"/>
        </w:rPr>
        <w:t xml:space="preserve">also </w:t>
      </w:r>
      <w:r w:rsidR="00F37589">
        <w:rPr>
          <w:rFonts w:ascii="Times New Roman" w:hAnsi="Times New Roman" w:cs="Times New Roman"/>
        </w:rPr>
        <w:t>control for</w:t>
      </w:r>
      <w:r w:rsidR="00AC31AC">
        <w:rPr>
          <w:rFonts w:ascii="Times New Roman" w:hAnsi="Times New Roman" w:cs="Times New Roman"/>
        </w:rPr>
        <w:t xml:space="preserve"> age, square of age, </w:t>
      </w:r>
      <w:bookmarkStart w:id="0" w:name="_GoBack"/>
      <w:bookmarkEnd w:id="0"/>
      <w:r w:rsidR="00AC31AC">
        <w:rPr>
          <w:rFonts w:ascii="Times New Roman" w:hAnsi="Times New Roman" w:cs="Times New Roman"/>
        </w:rPr>
        <w:t>urban/rural residence,</w:t>
      </w:r>
      <w:r w:rsidR="00941207">
        <w:rPr>
          <w:rFonts w:ascii="Times New Roman" w:hAnsi="Times New Roman" w:cs="Times New Roman"/>
        </w:rPr>
        <w:t xml:space="preserve"> the</w:t>
      </w:r>
      <w:r w:rsidR="00B37373">
        <w:rPr>
          <w:rFonts w:ascii="Times New Roman" w:hAnsi="Times New Roman" w:cs="Times New Roman"/>
        </w:rPr>
        <w:t xml:space="preserve"> household</w:t>
      </w:r>
      <w:r w:rsidR="00941207">
        <w:rPr>
          <w:rFonts w:ascii="Times New Roman" w:hAnsi="Times New Roman" w:cs="Times New Roman"/>
        </w:rPr>
        <w:t>’s</w:t>
      </w:r>
      <w:r w:rsidR="00F37589">
        <w:rPr>
          <w:rFonts w:ascii="Times New Roman" w:hAnsi="Times New Roman" w:cs="Times New Roman"/>
        </w:rPr>
        <w:t xml:space="preserve"> caste </w:t>
      </w:r>
      <w:r w:rsidR="00B50439">
        <w:rPr>
          <w:rFonts w:ascii="Times New Roman" w:hAnsi="Times New Roman" w:cs="Times New Roman"/>
        </w:rPr>
        <w:t>category</w:t>
      </w:r>
      <w:r w:rsidR="00AC31AC">
        <w:rPr>
          <w:rFonts w:ascii="Times New Roman" w:hAnsi="Times New Roman" w:cs="Times New Roman"/>
        </w:rPr>
        <w:t>,</w:t>
      </w:r>
      <w:r w:rsidR="00B50439">
        <w:rPr>
          <w:rFonts w:ascii="Times New Roman" w:hAnsi="Times New Roman" w:cs="Times New Roman"/>
        </w:rPr>
        <w:t xml:space="preserve"> </w:t>
      </w:r>
      <w:r w:rsidR="00F37589">
        <w:rPr>
          <w:rFonts w:ascii="Times New Roman" w:hAnsi="Times New Roman" w:cs="Times New Roman"/>
        </w:rPr>
        <w:t xml:space="preserve">and </w:t>
      </w:r>
      <w:r w:rsidR="00AC31AC">
        <w:rPr>
          <w:rFonts w:ascii="Times New Roman" w:hAnsi="Times New Roman" w:cs="Times New Roman"/>
        </w:rPr>
        <w:t xml:space="preserve">the household’s </w:t>
      </w:r>
      <w:r w:rsidR="00F37589">
        <w:rPr>
          <w:rFonts w:ascii="Times New Roman" w:hAnsi="Times New Roman" w:cs="Times New Roman"/>
        </w:rPr>
        <w:t>religion in the above regression</w:t>
      </w:r>
      <w:r w:rsidR="0020266C">
        <w:rPr>
          <w:rFonts w:ascii="Times New Roman" w:hAnsi="Times New Roman" w:cs="Times New Roman"/>
        </w:rPr>
        <w:t>s</w:t>
      </w:r>
      <w:r w:rsidR="00F37589">
        <w:rPr>
          <w:rFonts w:ascii="Times New Roman" w:hAnsi="Times New Roman" w:cs="Times New Roman"/>
        </w:rPr>
        <w:t xml:space="preserve">. </w:t>
      </w:r>
      <w:r>
        <w:rPr>
          <w:rFonts w:ascii="Times New Roman" w:hAnsi="Times New Roman" w:cs="Times New Roman"/>
        </w:rPr>
        <w:t>*** p&lt;0.01, ** p&lt;0.05, * p&lt;0.</w:t>
      </w:r>
      <w:r w:rsidR="009542C5">
        <w:rPr>
          <w:rFonts w:ascii="Times New Roman" w:hAnsi="Times New Roman" w:cs="Times New Roman"/>
        </w:rPr>
        <w:t>1</w:t>
      </w:r>
    </w:p>
    <w:p w14:paraId="7061E170" w14:textId="59F814F8" w:rsidR="009C3558" w:rsidRPr="009542C5" w:rsidRDefault="00DF20E0" w:rsidP="009542C5">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Results on mechanisms </w:t>
      </w:r>
      <w:r w:rsidR="006917F9">
        <w:rPr>
          <w:rFonts w:ascii="Times New Roman" w:hAnsi="Times New Roman" w:cs="Times New Roman"/>
          <w:b/>
          <w:sz w:val="24"/>
          <w:szCs w:val="24"/>
        </w:rPr>
        <w:t xml:space="preserve">through </w:t>
      </w:r>
      <w:r w:rsidR="003E30AA">
        <w:rPr>
          <w:rFonts w:ascii="Times New Roman" w:hAnsi="Times New Roman" w:cs="Times New Roman"/>
          <w:b/>
          <w:sz w:val="24"/>
          <w:szCs w:val="24"/>
        </w:rPr>
        <w:t>which</w:t>
      </w:r>
      <w:r w:rsidR="004F3FEA">
        <w:rPr>
          <w:rFonts w:ascii="Times New Roman" w:hAnsi="Times New Roman" w:cs="Times New Roman"/>
          <w:b/>
          <w:sz w:val="24"/>
          <w:szCs w:val="24"/>
        </w:rPr>
        <w:t xml:space="preserve"> </w:t>
      </w:r>
      <w:r>
        <w:rPr>
          <w:rFonts w:ascii="Times New Roman" w:hAnsi="Times New Roman" w:cs="Times New Roman"/>
          <w:b/>
          <w:sz w:val="24"/>
          <w:szCs w:val="24"/>
        </w:rPr>
        <w:t xml:space="preserve">intrahousehold status </w:t>
      </w:r>
      <w:r w:rsidR="00CE0538">
        <w:rPr>
          <w:rFonts w:ascii="Times New Roman" w:hAnsi="Times New Roman" w:cs="Times New Roman"/>
          <w:b/>
          <w:sz w:val="24"/>
          <w:szCs w:val="24"/>
        </w:rPr>
        <w:t xml:space="preserve">may </w:t>
      </w:r>
      <w:r w:rsidR="003E30AA">
        <w:rPr>
          <w:rFonts w:ascii="Times New Roman" w:hAnsi="Times New Roman" w:cs="Times New Roman"/>
          <w:b/>
          <w:sz w:val="24"/>
          <w:szCs w:val="24"/>
        </w:rPr>
        <w:t>affect</w:t>
      </w:r>
      <w:r>
        <w:rPr>
          <w:rFonts w:ascii="Times New Roman" w:hAnsi="Times New Roman" w:cs="Times New Roman"/>
          <w:b/>
          <w:sz w:val="24"/>
          <w:szCs w:val="24"/>
        </w:rPr>
        <w:t xml:space="preserve"> BMI</w:t>
      </w:r>
    </w:p>
    <w:p w14:paraId="76127F11" w14:textId="67A21535" w:rsidR="009C3558" w:rsidRDefault="006917F9"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BMI increases when one eats more calorie-rich food and spends more time in sedentary activities. </w:t>
      </w:r>
      <w:r w:rsidR="00202886">
        <w:rPr>
          <w:rFonts w:ascii="Times New Roman" w:hAnsi="Times New Roman" w:cs="Times New Roman"/>
          <w:sz w:val="24"/>
          <w:szCs w:val="24"/>
        </w:rPr>
        <w:t xml:space="preserve">To </w:t>
      </w:r>
      <w:r>
        <w:rPr>
          <w:rFonts w:ascii="Times New Roman" w:hAnsi="Times New Roman" w:cs="Times New Roman"/>
          <w:sz w:val="24"/>
          <w:szCs w:val="24"/>
        </w:rPr>
        <w:t xml:space="preserve">check if </w:t>
      </w:r>
      <w:r w:rsidR="009C3558">
        <w:rPr>
          <w:rFonts w:ascii="Times New Roman" w:hAnsi="Times New Roman" w:cs="Times New Roman"/>
          <w:sz w:val="24"/>
          <w:szCs w:val="24"/>
        </w:rPr>
        <w:t xml:space="preserve"> improved status is associated with increased leisure consumption</w:t>
      </w:r>
      <w:r w:rsidR="00202886">
        <w:rPr>
          <w:rFonts w:ascii="Times New Roman" w:hAnsi="Times New Roman" w:cs="Times New Roman"/>
          <w:sz w:val="24"/>
          <w:szCs w:val="24"/>
        </w:rPr>
        <w:t>, w</w:t>
      </w:r>
      <w:r w:rsidR="009C3558">
        <w:rPr>
          <w:rFonts w:ascii="Times New Roman" w:hAnsi="Times New Roman" w:cs="Times New Roman"/>
          <w:sz w:val="24"/>
          <w:szCs w:val="24"/>
        </w:rPr>
        <w:t>e use information on the frequency of watching television</w:t>
      </w:r>
      <w:r w:rsidR="0086551C">
        <w:rPr>
          <w:rFonts w:ascii="Times New Roman" w:hAnsi="Times New Roman" w:cs="Times New Roman"/>
          <w:sz w:val="24"/>
          <w:szCs w:val="24"/>
        </w:rPr>
        <w:t xml:space="preserve"> (as a</w:t>
      </w:r>
      <w:r w:rsidR="009C3558">
        <w:rPr>
          <w:rFonts w:ascii="Times New Roman" w:hAnsi="Times New Roman" w:cs="Times New Roman"/>
          <w:sz w:val="24"/>
          <w:szCs w:val="24"/>
        </w:rPr>
        <w:t xml:space="preserve"> proxy for leisure</w:t>
      </w:r>
      <w:r w:rsidR="0086551C">
        <w:rPr>
          <w:rFonts w:ascii="Times New Roman" w:hAnsi="Times New Roman" w:cs="Times New Roman"/>
          <w:sz w:val="24"/>
          <w:szCs w:val="24"/>
        </w:rPr>
        <w:t xml:space="preserve"> </w:t>
      </w:r>
      <w:r w:rsidR="009C3558">
        <w:rPr>
          <w:rFonts w:ascii="Times New Roman" w:hAnsi="Times New Roman" w:cs="Times New Roman"/>
          <w:sz w:val="24"/>
          <w:szCs w:val="24"/>
        </w:rPr>
        <w:t>in the absence of time-use data</w:t>
      </w:r>
      <w:r w:rsidR="0086551C">
        <w:rPr>
          <w:rFonts w:ascii="Times New Roman" w:hAnsi="Times New Roman" w:cs="Times New Roman"/>
          <w:sz w:val="24"/>
          <w:szCs w:val="24"/>
        </w:rPr>
        <w:t>)</w:t>
      </w:r>
      <w:r>
        <w:rPr>
          <w:rFonts w:ascii="Times New Roman" w:hAnsi="Times New Roman" w:cs="Times New Roman"/>
          <w:sz w:val="24"/>
          <w:szCs w:val="24"/>
        </w:rPr>
        <w:t xml:space="preserve"> in the NFHS</w:t>
      </w:r>
      <w:r w:rsidR="009C3558">
        <w:rPr>
          <w:rFonts w:ascii="Times New Roman" w:hAnsi="Times New Roman" w:cs="Times New Roman"/>
          <w:sz w:val="24"/>
          <w:szCs w:val="24"/>
        </w:rPr>
        <w:t xml:space="preserve">. Frequent television watching is associated with higher BMI and a greater propensity for overweight and obesity </w:t>
      </w:r>
      <w:r w:rsidR="009C3558">
        <w:rPr>
          <w:rFonts w:ascii="Times New Roman" w:hAnsi="Times New Roman" w:cs="Times New Roman"/>
          <w:sz w:val="24"/>
          <w:szCs w:val="24"/>
        </w:rPr>
        <w:fldChar w:fldCharType="begin" w:fldLock="1"/>
      </w:r>
      <w:r w:rsidR="00E959B1">
        <w:rPr>
          <w:rFonts w:ascii="Times New Roman" w:hAnsi="Times New Roman" w:cs="Times New Roman"/>
          <w:sz w:val="24"/>
          <w:szCs w:val="24"/>
        </w:rPr>
        <w:instrText>ADDIN CSL_CITATION {"citationItems":[{"id":"ITEM-1","itemData":{"abstract":"Two national survey from the early 1960s indicate that the prevalence of obesity is directly related to the amount of time spent in viewing television in young people aged 6 to 17 years. The author discusses the mechanisms by which television affects obesity and other eating disorders.","author":[{"dropping-particle":"","family":"Dietz","given":"WH","non-dropping-particle":"","parse-names":false,"suffix":""}],"container-title":"Adolescent medicine (Philadelphia, Pa.)","id":"ITEM-1","issue":"3","issued":{"date-parts":[["1993","10"]]},"page":"543-550","title":"Television, Obesity, and Eating Disorders.","type":"article-journal","volume":"4"},"uris":["http://www.mendeley.com/documents/?uuid=2ec9116b-da92-3b08-90eb-2264c9764540"]},{"id":"ITEM-2","itemData":{"abstract":"Research suggests television viewing time may be associated with incident obesity and central obesity in young adults. No study has investigated these associations in older English adults. The aim of this study was to investigate longitudinal associations between television viewing time and incident obesity and central obesity in a sample of older English adults. Analyses of data from the English Longitudinal Study of Ageing. At baseline (2008), participants reported their television viewing time. Research nurses recorded obesity and central obesity by body mass index and waist circumference, respectively, at four year follow-up. Associations between television viewing time and incident obesity (BMI &gt; 30 kg/m2) and central obesity (waist &gt;102 cm men; &gt; 88 cm women) at four year follow-up were examined using adjusted logistic regression. Participants gave full written informed consent to participate in the study and ethical approval was obtained from the London Multicentre Research Ethics Committee. A total of 3777 initially non-obese participants (aged 64.8 ± 8.6 yrs, 46.4% male) were included in the analyses using BMI as an outcome and 2947 for the analyses using waist circumference. No significant associations were found between television viewing time and incident obesity. A significant association was found between watching ≥6 hrs/d of television (compared to &lt;2 hrs/d) and central obesity (Odds Ratio 1.48; 95% confidence interval 1.07 to 2.03) after adjustment for covariables including physical activity. In this sample of older community dwelling English adults greater television viewing time was associated with incident central obesity, but not total obesity when measured by BMI. Interventions to reduce the incidence of central obesity in this age group that focus on reducing TV time, as well as targeting other health behaviours (eg, increasing physical activity levels, improving dietary intake) might prove useful.","author":[{"dropping-particle":"","family":"Smith","given":"Lee","non-dropping-particle":"","parse-names":false,"suffix":""},{"dropping-particle":"","family":"Fisher","given":"Abigail","non-dropping-particle":"","parse-names":false,"suffix":""},{"dropping-particle":"","family":"Hamer","given":"Mark","non-dropping-particle":"","parse-names":false,"suffix":""}],"container-title":"BMC Obesity","id":"ITEM-2","issue":"1","issued":{"date-parts":[["2015","12","1"]]},"page":"12","publisher":"BioMed Central","title":"Television viewing time and risk of incident obesity and central obesity: the English longitudinal study of ageing","type":"article-journal","volume":"2"},"uris":["http://www.mendeley.com/documents/?uuid=56fab5f4-6dbe-3ee2-94a3-6ed1077b7f58"]}],"mendeley":{"formattedCitation":"(Dietz, 1993; L. Smith, Fisher, &amp; Hamer, 2015)","plainTextFormattedCitation":"(Dietz, 1993; L. Smith, Fisher, &amp; Hamer, 2015)","previouslyFormattedCitation":"(Dietz, 1993; L. Smith, Fisher, &amp; Hamer, 2015)"},"properties":{"noteIndex":0},"schema":"https://github.com/citation-style-language/schema/raw/master/csl-citation.json"}</w:instrText>
      </w:r>
      <w:r w:rsidR="009C3558">
        <w:rPr>
          <w:rFonts w:ascii="Times New Roman" w:hAnsi="Times New Roman" w:cs="Times New Roman"/>
          <w:sz w:val="24"/>
          <w:szCs w:val="24"/>
        </w:rPr>
        <w:fldChar w:fldCharType="separate"/>
      </w:r>
      <w:r w:rsidR="005B2BDC" w:rsidRPr="005B2BDC">
        <w:rPr>
          <w:rFonts w:ascii="Times New Roman" w:hAnsi="Times New Roman" w:cs="Times New Roman"/>
          <w:noProof/>
          <w:sz w:val="24"/>
          <w:szCs w:val="24"/>
        </w:rPr>
        <w:t>(Dietz, 1993; L. Smith, Fisher, &amp; Hamer, 2015)</w:t>
      </w:r>
      <w:r w:rsidR="009C3558">
        <w:rPr>
          <w:rFonts w:ascii="Times New Roman" w:hAnsi="Times New Roman" w:cs="Times New Roman"/>
          <w:sz w:val="24"/>
          <w:szCs w:val="24"/>
        </w:rPr>
        <w:fldChar w:fldCharType="end"/>
      </w:r>
      <w:r w:rsidR="009C3558">
        <w:rPr>
          <w:rFonts w:ascii="Times New Roman" w:hAnsi="Times New Roman" w:cs="Times New Roman"/>
          <w:sz w:val="24"/>
          <w:szCs w:val="24"/>
        </w:rPr>
        <w:t>.</w:t>
      </w:r>
    </w:p>
    <w:p w14:paraId="3EA1B945" w14:textId="77777777" w:rsidR="009C3558" w:rsidRDefault="00681E65"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present </w:t>
      </w:r>
      <w:r w:rsidR="009C3558">
        <w:rPr>
          <w:rFonts w:ascii="Times New Roman" w:hAnsi="Times New Roman" w:cs="Times New Roman"/>
          <w:sz w:val="24"/>
          <w:szCs w:val="24"/>
        </w:rPr>
        <w:t>results from linear probability models</w:t>
      </w:r>
      <w:r w:rsidR="003E0E1C">
        <w:rPr>
          <w:rFonts w:ascii="Times New Roman" w:hAnsi="Times New Roman" w:cs="Times New Roman"/>
          <w:sz w:val="24"/>
          <w:szCs w:val="24"/>
        </w:rPr>
        <w:t>, where the dependent variable is a binary indicator of</w:t>
      </w:r>
      <w:r w:rsidR="009C3558">
        <w:rPr>
          <w:rFonts w:ascii="Times New Roman" w:hAnsi="Times New Roman" w:cs="Times New Roman"/>
          <w:sz w:val="24"/>
          <w:szCs w:val="24"/>
        </w:rPr>
        <w:t xml:space="preserve"> whether a woman watches TV frequently</w:t>
      </w:r>
      <w:r w:rsidR="00814F2E">
        <w:rPr>
          <w:rFonts w:ascii="Times New Roman" w:hAnsi="Times New Roman" w:cs="Times New Roman"/>
          <w:sz w:val="24"/>
          <w:szCs w:val="24"/>
        </w:rPr>
        <w:t xml:space="preserve"> (Table </w:t>
      </w:r>
      <w:r w:rsidR="00A9679F">
        <w:rPr>
          <w:rFonts w:ascii="Times New Roman" w:hAnsi="Times New Roman" w:cs="Times New Roman"/>
          <w:sz w:val="24"/>
          <w:szCs w:val="24"/>
        </w:rPr>
        <w:t>4</w:t>
      </w:r>
      <w:r w:rsidR="00814F2E">
        <w:rPr>
          <w:rFonts w:ascii="Times New Roman" w:hAnsi="Times New Roman" w:cs="Times New Roman"/>
          <w:sz w:val="24"/>
          <w:szCs w:val="24"/>
        </w:rPr>
        <w:t>)</w:t>
      </w:r>
      <w:r w:rsidR="009C3558">
        <w:rPr>
          <w:rFonts w:ascii="Times New Roman" w:hAnsi="Times New Roman" w:cs="Times New Roman"/>
          <w:sz w:val="24"/>
          <w:szCs w:val="24"/>
        </w:rPr>
        <w:t xml:space="preserve">. </w:t>
      </w:r>
      <w:r w:rsidR="00814F2E">
        <w:rPr>
          <w:rFonts w:ascii="Times New Roman" w:hAnsi="Times New Roman" w:cs="Times New Roman"/>
          <w:sz w:val="24"/>
          <w:szCs w:val="24"/>
        </w:rPr>
        <w:t xml:space="preserve">We </w:t>
      </w:r>
      <w:r w:rsidR="009C3558">
        <w:rPr>
          <w:rFonts w:ascii="Times New Roman" w:hAnsi="Times New Roman" w:cs="Times New Roman"/>
          <w:sz w:val="24"/>
          <w:szCs w:val="24"/>
        </w:rPr>
        <w:t xml:space="preserve">find that women </w:t>
      </w:r>
      <w:r w:rsidR="00814F2E">
        <w:rPr>
          <w:rFonts w:ascii="Times New Roman" w:hAnsi="Times New Roman" w:cs="Times New Roman"/>
          <w:sz w:val="24"/>
          <w:szCs w:val="24"/>
        </w:rPr>
        <w:t>whose first child is male</w:t>
      </w:r>
      <w:r w:rsidR="009C3558">
        <w:rPr>
          <w:rFonts w:ascii="Times New Roman" w:hAnsi="Times New Roman" w:cs="Times New Roman"/>
          <w:sz w:val="24"/>
          <w:szCs w:val="24"/>
        </w:rPr>
        <w:t xml:space="preserve"> </w:t>
      </w:r>
      <w:r w:rsidR="00CE0538" w:rsidRPr="00772CA9">
        <w:rPr>
          <w:rFonts w:ascii="Times New Roman" w:hAnsi="Times New Roman" w:cs="Times New Roman"/>
          <w:sz w:val="24"/>
          <w:szCs w:val="24"/>
        </w:rPr>
        <w:t xml:space="preserve">are more likely to </w:t>
      </w:r>
      <w:r w:rsidR="00581463">
        <w:rPr>
          <w:rFonts w:ascii="Times New Roman" w:hAnsi="Times New Roman" w:cs="Times New Roman"/>
          <w:sz w:val="24"/>
          <w:szCs w:val="24"/>
        </w:rPr>
        <w:t>watch</w:t>
      </w:r>
      <w:r w:rsidR="00CE0538" w:rsidRPr="00772CA9">
        <w:rPr>
          <w:rFonts w:ascii="Times New Roman" w:hAnsi="Times New Roman" w:cs="Times New Roman"/>
          <w:sz w:val="24"/>
          <w:szCs w:val="24"/>
        </w:rPr>
        <w:t xml:space="preserve"> </w:t>
      </w:r>
      <w:r w:rsidR="00A23E9D" w:rsidRPr="00E40471">
        <w:rPr>
          <w:rFonts w:ascii="Times New Roman" w:hAnsi="Times New Roman" w:cs="Times New Roman"/>
          <w:sz w:val="24"/>
          <w:szCs w:val="24"/>
        </w:rPr>
        <w:t>TV</w:t>
      </w:r>
      <w:r w:rsidR="00CE0538" w:rsidRPr="00772CA9">
        <w:rPr>
          <w:rFonts w:ascii="Times New Roman" w:hAnsi="Times New Roman" w:cs="Times New Roman"/>
          <w:sz w:val="24"/>
          <w:szCs w:val="24"/>
        </w:rPr>
        <w:t xml:space="preserve"> </w:t>
      </w:r>
      <w:r w:rsidR="00581463">
        <w:rPr>
          <w:rFonts w:ascii="Times New Roman" w:hAnsi="Times New Roman" w:cs="Times New Roman"/>
          <w:sz w:val="24"/>
          <w:szCs w:val="24"/>
        </w:rPr>
        <w:t xml:space="preserve">frequently </w:t>
      </w:r>
      <w:r w:rsidR="00814F2E">
        <w:rPr>
          <w:rFonts w:ascii="Times New Roman" w:hAnsi="Times New Roman" w:cs="Times New Roman"/>
          <w:sz w:val="24"/>
          <w:szCs w:val="24"/>
        </w:rPr>
        <w:t>compared to women whose first child is female</w:t>
      </w:r>
      <w:r w:rsidR="009C3558">
        <w:rPr>
          <w:rFonts w:ascii="Times New Roman" w:hAnsi="Times New Roman" w:cs="Times New Roman"/>
          <w:sz w:val="24"/>
          <w:szCs w:val="24"/>
        </w:rPr>
        <w:t xml:space="preserve">. </w:t>
      </w:r>
      <w:r w:rsidR="00814F2E" w:rsidRPr="002A56CB">
        <w:rPr>
          <w:rFonts w:ascii="Times New Roman" w:hAnsi="Times New Roman" w:cs="Times New Roman"/>
          <w:sz w:val="24"/>
          <w:szCs w:val="24"/>
        </w:rPr>
        <w:t>We also control for education and occupation, since these factors are correlated with television-watching</w:t>
      </w:r>
      <w:r w:rsidR="001F5A80">
        <w:rPr>
          <w:rFonts w:ascii="Times New Roman" w:hAnsi="Times New Roman" w:cs="Times New Roman"/>
          <w:sz w:val="24"/>
          <w:szCs w:val="24"/>
        </w:rPr>
        <w:t>. Mo</w:t>
      </w:r>
      <w:r w:rsidR="00814F2E" w:rsidRPr="002A56CB">
        <w:rPr>
          <w:rFonts w:ascii="Times New Roman" w:hAnsi="Times New Roman" w:cs="Times New Roman"/>
          <w:sz w:val="24"/>
          <w:szCs w:val="24"/>
        </w:rPr>
        <w:t>re educated women</w:t>
      </w:r>
      <w:r w:rsidR="00E62799">
        <w:rPr>
          <w:rFonts w:ascii="Times New Roman" w:hAnsi="Times New Roman" w:cs="Times New Roman"/>
          <w:sz w:val="24"/>
          <w:szCs w:val="24"/>
        </w:rPr>
        <w:t xml:space="preserve"> are more likely to</w:t>
      </w:r>
      <w:r w:rsidR="00814F2E" w:rsidRPr="002A56CB">
        <w:rPr>
          <w:rFonts w:ascii="Times New Roman" w:hAnsi="Times New Roman" w:cs="Times New Roman"/>
          <w:sz w:val="24"/>
          <w:szCs w:val="24"/>
        </w:rPr>
        <w:t xml:space="preserve"> watch </w:t>
      </w:r>
      <w:r w:rsidR="000714E8">
        <w:rPr>
          <w:rFonts w:ascii="Times New Roman" w:hAnsi="Times New Roman" w:cs="Times New Roman"/>
          <w:sz w:val="24"/>
          <w:szCs w:val="24"/>
        </w:rPr>
        <w:t>TV</w:t>
      </w:r>
      <w:r w:rsidR="002A56CB">
        <w:rPr>
          <w:rFonts w:ascii="Times New Roman" w:hAnsi="Times New Roman" w:cs="Times New Roman"/>
          <w:sz w:val="24"/>
          <w:szCs w:val="24"/>
        </w:rPr>
        <w:t xml:space="preserve"> frequently</w:t>
      </w:r>
      <w:r w:rsidR="00814F2E" w:rsidRPr="002A56CB">
        <w:rPr>
          <w:rFonts w:ascii="Times New Roman" w:hAnsi="Times New Roman" w:cs="Times New Roman"/>
          <w:sz w:val="24"/>
          <w:szCs w:val="24"/>
        </w:rPr>
        <w:t xml:space="preserve">. Similarly, </w:t>
      </w:r>
      <w:r w:rsidR="009C3558" w:rsidRPr="002A56CB">
        <w:rPr>
          <w:rFonts w:ascii="Times New Roman" w:hAnsi="Times New Roman" w:cs="Times New Roman"/>
          <w:sz w:val="24"/>
          <w:szCs w:val="24"/>
        </w:rPr>
        <w:t>women who work in offices</w:t>
      </w:r>
      <w:r w:rsidR="00E62799">
        <w:rPr>
          <w:rFonts w:ascii="Times New Roman" w:hAnsi="Times New Roman" w:cs="Times New Roman"/>
          <w:sz w:val="24"/>
          <w:szCs w:val="24"/>
        </w:rPr>
        <w:t xml:space="preserve"> are</w:t>
      </w:r>
      <w:r w:rsidR="009C3558" w:rsidRPr="002A56CB">
        <w:rPr>
          <w:rFonts w:ascii="Times New Roman" w:hAnsi="Times New Roman" w:cs="Times New Roman"/>
          <w:sz w:val="24"/>
          <w:szCs w:val="24"/>
        </w:rPr>
        <w:t xml:space="preserve"> </w:t>
      </w:r>
      <w:r w:rsidR="002A56CB">
        <w:rPr>
          <w:rFonts w:ascii="Times New Roman" w:hAnsi="Times New Roman" w:cs="Times New Roman"/>
          <w:sz w:val="24"/>
          <w:szCs w:val="24"/>
        </w:rPr>
        <w:t>also</w:t>
      </w:r>
      <w:r w:rsidR="00E62799">
        <w:rPr>
          <w:rFonts w:ascii="Times New Roman" w:hAnsi="Times New Roman" w:cs="Times New Roman"/>
          <w:sz w:val="24"/>
          <w:szCs w:val="24"/>
        </w:rPr>
        <w:t xml:space="preserve"> more likely to</w:t>
      </w:r>
      <w:r w:rsidR="002A56CB">
        <w:rPr>
          <w:rFonts w:ascii="Times New Roman" w:hAnsi="Times New Roman" w:cs="Times New Roman"/>
          <w:sz w:val="24"/>
          <w:szCs w:val="24"/>
        </w:rPr>
        <w:t xml:space="preserve"> </w:t>
      </w:r>
      <w:r w:rsidR="009C3558" w:rsidRPr="002A56CB">
        <w:rPr>
          <w:rFonts w:ascii="Times New Roman" w:hAnsi="Times New Roman" w:cs="Times New Roman"/>
          <w:sz w:val="24"/>
          <w:szCs w:val="24"/>
        </w:rPr>
        <w:t xml:space="preserve">watch </w:t>
      </w:r>
      <w:r w:rsidR="000714E8">
        <w:rPr>
          <w:rFonts w:ascii="Times New Roman" w:hAnsi="Times New Roman" w:cs="Times New Roman"/>
          <w:sz w:val="24"/>
          <w:szCs w:val="24"/>
        </w:rPr>
        <w:t>TV</w:t>
      </w:r>
      <w:r w:rsidR="002A56CB">
        <w:rPr>
          <w:rFonts w:ascii="Times New Roman" w:hAnsi="Times New Roman" w:cs="Times New Roman"/>
          <w:sz w:val="24"/>
          <w:szCs w:val="24"/>
        </w:rPr>
        <w:t xml:space="preserve"> </w:t>
      </w:r>
      <w:r w:rsidR="009C3558" w:rsidRPr="002A56CB">
        <w:rPr>
          <w:rFonts w:ascii="Times New Roman" w:hAnsi="Times New Roman" w:cs="Times New Roman"/>
          <w:sz w:val="24"/>
          <w:szCs w:val="24"/>
        </w:rPr>
        <w:t>frequently.</w:t>
      </w:r>
      <w:r w:rsidR="009C3558">
        <w:rPr>
          <w:rFonts w:ascii="Times New Roman" w:hAnsi="Times New Roman" w:cs="Times New Roman"/>
          <w:sz w:val="24"/>
          <w:szCs w:val="24"/>
        </w:rPr>
        <w:t xml:space="preserve"> The results are qualitatively </w:t>
      </w:r>
      <w:r w:rsidR="009532AF">
        <w:rPr>
          <w:rFonts w:ascii="Times New Roman" w:hAnsi="Times New Roman" w:cs="Times New Roman"/>
          <w:sz w:val="24"/>
          <w:szCs w:val="24"/>
        </w:rPr>
        <w:t>similar</w:t>
      </w:r>
      <w:r w:rsidR="009C3558">
        <w:rPr>
          <w:rFonts w:ascii="Times New Roman" w:hAnsi="Times New Roman" w:cs="Times New Roman"/>
          <w:sz w:val="24"/>
          <w:szCs w:val="24"/>
        </w:rPr>
        <w:t xml:space="preserve"> in both urban and rural regions (not included in the table for the sake of brevity).</w:t>
      </w:r>
    </w:p>
    <w:p w14:paraId="5D4D5CEA" w14:textId="28E9384A"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channel that can explain </w:t>
      </w:r>
      <w:r w:rsidR="006917F9">
        <w:rPr>
          <w:rFonts w:ascii="Times New Roman" w:hAnsi="Times New Roman" w:cs="Times New Roman"/>
          <w:sz w:val="24"/>
          <w:szCs w:val="24"/>
        </w:rPr>
        <w:t>the positive correlation between intrahousehold status and BMI of women</w:t>
      </w:r>
      <w:r w:rsidR="003D0BC6">
        <w:rPr>
          <w:rFonts w:ascii="Times New Roman" w:hAnsi="Times New Roman" w:cs="Times New Roman"/>
          <w:sz w:val="24"/>
          <w:szCs w:val="24"/>
        </w:rPr>
        <w:t xml:space="preserve"> </w:t>
      </w:r>
      <w:r>
        <w:rPr>
          <w:rFonts w:ascii="Times New Roman" w:hAnsi="Times New Roman" w:cs="Times New Roman"/>
          <w:sz w:val="24"/>
          <w:szCs w:val="24"/>
        </w:rPr>
        <w:t xml:space="preserve">is </w:t>
      </w:r>
      <w:r w:rsidR="006917F9">
        <w:rPr>
          <w:rFonts w:ascii="Times New Roman" w:hAnsi="Times New Roman" w:cs="Times New Roman"/>
          <w:sz w:val="24"/>
          <w:szCs w:val="24"/>
        </w:rPr>
        <w:t xml:space="preserve"> higher consumption of calorie-rich foods by women who enjoy better status in their families</w:t>
      </w:r>
      <w:r>
        <w:rPr>
          <w:rFonts w:ascii="Times New Roman" w:hAnsi="Times New Roman" w:cs="Times New Roman"/>
          <w:sz w:val="24"/>
          <w:szCs w:val="24"/>
        </w:rPr>
        <w:t xml:space="preserve">. </w:t>
      </w:r>
    </w:p>
    <w:p w14:paraId="1FF3E919" w14:textId="6E100B1F" w:rsidR="00826E05" w:rsidRDefault="009C3558" w:rsidP="00060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53634F">
        <w:rPr>
          <w:rFonts w:ascii="Times New Roman" w:hAnsi="Times New Roman" w:cs="Times New Roman"/>
          <w:sz w:val="24"/>
          <w:szCs w:val="24"/>
        </w:rPr>
        <w:t xml:space="preserve">do not have good data on food consumption patterns of different members of households. The NFHS asks questions on the frequency of </w:t>
      </w:r>
      <w:r w:rsidR="007B0BFB">
        <w:rPr>
          <w:rFonts w:ascii="Times New Roman" w:hAnsi="Times New Roman" w:cs="Times New Roman"/>
          <w:sz w:val="24"/>
          <w:szCs w:val="24"/>
        </w:rPr>
        <w:t xml:space="preserve">consumption of </w:t>
      </w:r>
      <w:r w:rsidR="0053634F">
        <w:rPr>
          <w:rFonts w:ascii="Times New Roman" w:hAnsi="Times New Roman" w:cs="Times New Roman"/>
          <w:sz w:val="24"/>
          <w:szCs w:val="24"/>
        </w:rPr>
        <w:t>different food groups</w:t>
      </w:r>
      <w:r w:rsidR="0053634F">
        <w:rPr>
          <w:rFonts w:ascii="Times New Roman" w:hAnsi="Times New Roman" w:cs="Times New Roman"/>
          <w:b/>
          <w:bCs/>
          <w:sz w:val="24"/>
          <w:szCs w:val="24"/>
        </w:rPr>
        <w:t xml:space="preserve"> </w:t>
      </w:r>
      <w:r w:rsidR="0053634F">
        <w:rPr>
          <w:rFonts w:ascii="Times New Roman" w:hAnsi="Times New Roman" w:cs="Times New Roman"/>
          <w:sz w:val="24"/>
          <w:szCs w:val="24"/>
        </w:rPr>
        <w:t xml:space="preserve">for women in sample households, but as mentioned earlier, this data is not reliable. The NSS-CES, however, collects data on the number of paid meals consumed  in last 30 days by every member of the sampled households. </w:t>
      </w:r>
    </w:p>
    <w:p w14:paraId="1949AE0A" w14:textId="4FE1523D" w:rsidR="00060A6B" w:rsidRDefault="0053634F" w:rsidP="00060A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9C3558">
        <w:rPr>
          <w:rFonts w:ascii="Times New Roman" w:hAnsi="Times New Roman" w:cs="Times New Roman"/>
          <w:sz w:val="24"/>
          <w:szCs w:val="24"/>
        </w:rPr>
        <w:t>explore the relationship between a woman’s status</w:t>
      </w:r>
      <w:r>
        <w:rPr>
          <w:rFonts w:ascii="Times New Roman" w:hAnsi="Times New Roman" w:cs="Times New Roman"/>
          <w:sz w:val="24"/>
          <w:szCs w:val="24"/>
        </w:rPr>
        <w:t>, as measure</w:t>
      </w:r>
      <w:r w:rsidR="00510CE4">
        <w:rPr>
          <w:rFonts w:ascii="Times New Roman" w:hAnsi="Times New Roman" w:cs="Times New Roman"/>
          <w:sz w:val="24"/>
          <w:szCs w:val="24"/>
        </w:rPr>
        <w:t>d</w:t>
      </w:r>
      <w:r>
        <w:rPr>
          <w:rFonts w:ascii="Times New Roman" w:hAnsi="Times New Roman" w:cs="Times New Roman"/>
          <w:sz w:val="24"/>
          <w:szCs w:val="24"/>
        </w:rPr>
        <w:t xml:space="preserve"> by daughter-in-law’s rank,</w:t>
      </w:r>
      <w:r w:rsidR="009C3558">
        <w:rPr>
          <w:rFonts w:ascii="Times New Roman" w:hAnsi="Times New Roman" w:cs="Times New Roman"/>
          <w:sz w:val="24"/>
          <w:szCs w:val="24"/>
        </w:rPr>
        <w:t xml:space="preserve"> and eating out behaviour</w:t>
      </w:r>
      <w:r w:rsidR="009B095F">
        <w:rPr>
          <w:rFonts w:ascii="Times New Roman" w:hAnsi="Times New Roman" w:cs="Times New Roman"/>
          <w:sz w:val="24"/>
          <w:szCs w:val="24"/>
        </w:rPr>
        <w:t xml:space="preserve"> using data from</w:t>
      </w:r>
      <w:r w:rsidR="009C3558">
        <w:rPr>
          <w:rFonts w:ascii="Times New Roman" w:hAnsi="Times New Roman" w:cs="Times New Roman"/>
          <w:sz w:val="24"/>
          <w:szCs w:val="24"/>
        </w:rPr>
        <w:t xml:space="preserve"> NSS-CES</w:t>
      </w:r>
      <w:r>
        <w:rPr>
          <w:rFonts w:ascii="Times New Roman" w:hAnsi="Times New Roman" w:cs="Times New Roman"/>
          <w:sz w:val="24"/>
          <w:szCs w:val="24"/>
        </w:rPr>
        <w:t xml:space="preserve">. Unfortunately, information on </w:t>
      </w:r>
      <w:r w:rsidR="00D01566">
        <w:rPr>
          <w:rFonts w:ascii="Times New Roman" w:hAnsi="Times New Roman" w:cs="Times New Roman"/>
          <w:sz w:val="24"/>
          <w:szCs w:val="24"/>
        </w:rPr>
        <w:t xml:space="preserve">first child’s sex is not available in NSS-CES. </w:t>
      </w:r>
      <w:r>
        <w:rPr>
          <w:rFonts w:ascii="Times New Roman" w:hAnsi="Times New Roman" w:cs="Times New Roman"/>
          <w:sz w:val="24"/>
          <w:szCs w:val="24"/>
        </w:rPr>
        <w:t xml:space="preserve">We control for household fixed effects in this regression. </w:t>
      </w:r>
      <w:r w:rsidR="002576E8">
        <w:rPr>
          <w:rFonts w:ascii="Times New Roman" w:hAnsi="Times New Roman" w:cs="Times New Roman"/>
          <w:sz w:val="24"/>
          <w:szCs w:val="24"/>
        </w:rPr>
        <w:t>We find that i</w:t>
      </w:r>
      <w:r w:rsidR="009C3558">
        <w:rPr>
          <w:rFonts w:ascii="Times New Roman" w:hAnsi="Times New Roman" w:cs="Times New Roman"/>
          <w:sz w:val="24"/>
          <w:szCs w:val="24"/>
        </w:rPr>
        <w:t xml:space="preserve">n patrilocal joint families, </w:t>
      </w:r>
      <w:proofErr w:type="spellStart"/>
      <w:r w:rsidR="009C3558">
        <w:rPr>
          <w:rFonts w:ascii="Times New Roman" w:hAnsi="Times New Roman" w:cs="Times New Roman"/>
          <w:i/>
          <w:sz w:val="24"/>
          <w:szCs w:val="24"/>
        </w:rPr>
        <w:t>chhoti</w:t>
      </w:r>
      <w:proofErr w:type="spellEnd"/>
      <w:r w:rsidR="009C3558">
        <w:rPr>
          <w:rFonts w:ascii="Times New Roman" w:hAnsi="Times New Roman" w:cs="Times New Roman"/>
          <w:i/>
          <w:sz w:val="24"/>
          <w:szCs w:val="24"/>
        </w:rPr>
        <w:t>-bahus</w:t>
      </w:r>
      <w:r w:rsidR="009C3558">
        <w:rPr>
          <w:rFonts w:ascii="Times New Roman" w:hAnsi="Times New Roman" w:cs="Times New Roman"/>
          <w:sz w:val="24"/>
          <w:szCs w:val="24"/>
        </w:rPr>
        <w:t xml:space="preserve"> are significantly less likely to be eating out than </w:t>
      </w:r>
      <w:proofErr w:type="spellStart"/>
      <w:r w:rsidR="009C3558">
        <w:rPr>
          <w:rFonts w:ascii="Times New Roman" w:hAnsi="Times New Roman" w:cs="Times New Roman"/>
          <w:i/>
          <w:sz w:val="24"/>
          <w:szCs w:val="24"/>
        </w:rPr>
        <w:t>badi</w:t>
      </w:r>
      <w:proofErr w:type="spellEnd"/>
      <w:r w:rsidR="009C3558">
        <w:rPr>
          <w:rFonts w:ascii="Times New Roman" w:hAnsi="Times New Roman" w:cs="Times New Roman"/>
          <w:i/>
          <w:sz w:val="24"/>
          <w:szCs w:val="24"/>
        </w:rPr>
        <w:t>-bahus</w:t>
      </w:r>
      <w:r w:rsidR="008A0812">
        <w:rPr>
          <w:rFonts w:ascii="Times New Roman" w:hAnsi="Times New Roman" w:cs="Times New Roman"/>
          <w:i/>
          <w:sz w:val="24"/>
          <w:szCs w:val="24"/>
        </w:rPr>
        <w:t xml:space="preserve"> </w:t>
      </w:r>
      <w:r w:rsidR="008A0812" w:rsidRPr="008A0812">
        <w:rPr>
          <w:rFonts w:ascii="Times New Roman" w:hAnsi="Times New Roman" w:cs="Times New Roman"/>
          <w:sz w:val="24"/>
          <w:szCs w:val="24"/>
        </w:rPr>
        <w:t>(Table 5</w:t>
      </w:r>
      <w:r w:rsidR="00D90310">
        <w:rPr>
          <w:rFonts w:ascii="Times New Roman" w:hAnsi="Times New Roman" w:cs="Times New Roman"/>
          <w:sz w:val="24"/>
          <w:szCs w:val="24"/>
        </w:rPr>
        <w:t>)</w:t>
      </w:r>
      <w:r w:rsidR="009C3558" w:rsidRPr="008A0812">
        <w:rPr>
          <w:rFonts w:ascii="Times New Roman" w:hAnsi="Times New Roman" w:cs="Times New Roman"/>
          <w:sz w:val="24"/>
          <w:szCs w:val="24"/>
        </w:rPr>
        <w:t>.</w:t>
      </w:r>
      <w:r w:rsidR="000257DB">
        <w:rPr>
          <w:rStyle w:val="FootnoteReference"/>
          <w:rFonts w:ascii="Times New Roman" w:hAnsi="Times New Roman" w:cs="Times New Roman"/>
          <w:sz w:val="24"/>
          <w:szCs w:val="24"/>
        </w:rPr>
        <w:footnoteReference w:id="5"/>
      </w:r>
      <w:r w:rsidR="000257DB">
        <w:rPr>
          <w:rFonts w:ascii="Times New Roman" w:hAnsi="Times New Roman" w:cs="Times New Roman"/>
          <w:sz w:val="24"/>
          <w:szCs w:val="24"/>
        </w:rPr>
        <w:t xml:space="preserve"> </w:t>
      </w:r>
      <w:r w:rsidR="00060A6B">
        <w:rPr>
          <w:rFonts w:ascii="Times New Roman" w:hAnsi="Times New Roman" w:cs="Times New Roman"/>
          <w:sz w:val="24"/>
          <w:szCs w:val="24"/>
        </w:rPr>
        <w:t>The result is driven mainly by the urban sub-sample of joint families because eating out is quite uncommon in rural India. I</w:t>
      </w:r>
      <w:r w:rsidR="000257DB">
        <w:rPr>
          <w:rFonts w:ascii="Times New Roman" w:hAnsi="Times New Roman" w:cs="Times New Roman"/>
          <w:sz w:val="24"/>
          <w:szCs w:val="24"/>
        </w:rPr>
        <w:t xml:space="preserve">n 2011-12, only </w:t>
      </w:r>
      <w:r w:rsidR="00752592">
        <w:rPr>
          <w:rFonts w:ascii="Times New Roman" w:hAnsi="Times New Roman" w:cs="Times New Roman"/>
          <w:sz w:val="24"/>
          <w:szCs w:val="24"/>
        </w:rPr>
        <w:t>2.4</w:t>
      </w:r>
      <w:r w:rsidR="000257DB">
        <w:rPr>
          <w:rFonts w:ascii="Times New Roman" w:hAnsi="Times New Roman" w:cs="Times New Roman"/>
          <w:sz w:val="24"/>
          <w:szCs w:val="24"/>
        </w:rPr>
        <w:t xml:space="preserve">% people </w:t>
      </w:r>
      <w:r w:rsidR="000257DB">
        <w:rPr>
          <w:rFonts w:ascii="Times New Roman" w:hAnsi="Times New Roman" w:cs="Times New Roman"/>
          <w:sz w:val="24"/>
          <w:szCs w:val="24"/>
        </w:rPr>
        <w:lastRenderedPageBreak/>
        <w:t xml:space="preserve">were eating out in rural India while </w:t>
      </w:r>
      <w:r w:rsidR="00752592">
        <w:rPr>
          <w:rFonts w:ascii="Times New Roman" w:hAnsi="Times New Roman" w:cs="Times New Roman"/>
          <w:sz w:val="24"/>
          <w:szCs w:val="24"/>
        </w:rPr>
        <w:t>7.5</w:t>
      </w:r>
      <w:r w:rsidR="000257DB">
        <w:rPr>
          <w:rFonts w:ascii="Times New Roman" w:hAnsi="Times New Roman" w:cs="Times New Roman"/>
          <w:sz w:val="24"/>
          <w:szCs w:val="24"/>
        </w:rPr>
        <w:t xml:space="preserve">% were eating out in urban India. </w:t>
      </w:r>
      <w:r w:rsidR="00060A6B">
        <w:rPr>
          <w:rFonts w:ascii="Times New Roman" w:hAnsi="Times New Roman" w:cs="Times New Roman"/>
          <w:sz w:val="24"/>
          <w:szCs w:val="24"/>
        </w:rPr>
        <w:t xml:space="preserve"> Paid meals are only a small share of total calories consumed in India, but higher frequency of eating out by higher-ranked women in the family does hint at the possibility that such women may be eating richer food even at home. It also shows that improved status in the family may not necessarily lead to healthier diets. It may even be correlated with a higher consumption of more obesogenic foods.</w:t>
      </w:r>
    </w:p>
    <w:p w14:paraId="1AEC3527" w14:textId="3C104E8E" w:rsidR="000257DB" w:rsidRDefault="000257DB" w:rsidP="00E40471">
      <w:pPr>
        <w:spacing w:line="360" w:lineRule="auto"/>
        <w:jc w:val="both"/>
        <w:rPr>
          <w:rFonts w:ascii="Times New Roman" w:hAnsi="Times New Roman" w:cs="Times New Roman"/>
          <w:sz w:val="24"/>
          <w:szCs w:val="24"/>
        </w:rPr>
      </w:pPr>
    </w:p>
    <w:p w14:paraId="72BFE0DF" w14:textId="77777777" w:rsidR="000E1432" w:rsidRDefault="000E1432">
      <w:pPr>
        <w:spacing w:line="259" w:lineRule="auto"/>
        <w:rPr>
          <w:rFonts w:ascii="Times New Roman" w:hAnsi="Times New Roman" w:cs="Times New Roman"/>
          <w:b/>
          <w:iCs/>
          <w:sz w:val="24"/>
          <w:szCs w:val="18"/>
        </w:rPr>
      </w:pPr>
      <w:r>
        <w:rPr>
          <w:rFonts w:ascii="Times New Roman" w:hAnsi="Times New Roman" w:cs="Times New Roman"/>
          <w:b/>
          <w:i/>
          <w:sz w:val="24"/>
        </w:rPr>
        <w:br w:type="page"/>
      </w:r>
    </w:p>
    <w:p w14:paraId="4622C4B2" w14:textId="77777777" w:rsidR="009C3558" w:rsidRDefault="009C3558" w:rsidP="009C3558">
      <w:pPr>
        <w:pStyle w:val="Caption"/>
        <w:keepNext/>
        <w:spacing w:line="276" w:lineRule="auto"/>
        <w:jc w:val="both"/>
        <w:rPr>
          <w:rFonts w:ascii="Times New Roman" w:hAnsi="Times New Roman" w:cs="Times New Roman"/>
          <w:b/>
          <w:i w:val="0"/>
          <w:color w:val="auto"/>
          <w:sz w:val="24"/>
        </w:rPr>
      </w:pPr>
      <w:r w:rsidRPr="00DA3EAF">
        <w:rPr>
          <w:rFonts w:ascii="Times New Roman" w:hAnsi="Times New Roman" w:cs="Times New Roman"/>
          <w:b/>
          <w:i w:val="0"/>
          <w:color w:val="auto"/>
          <w:sz w:val="24"/>
        </w:rPr>
        <w:lastRenderedPageBreak/>
        <w:t xml:space="preserve">Table </w:t>
      </w:r>
      <w:r w:rsidRPr="00DA3EAF">
        <w:rPr>
          <w:rFonts w:ascii="Times New Roman" w:hAnsi="Times New Roman" w:cs="Times New Roman"/>
          <w:b/>
          <w:i w:val="0"/>
          <w:color w:val="auto"/>
          <w:sz w:val="24"/>
        </w:rPr>
        <w:fldChar w:fldCharType="begin"/>
      </w:r>
      <w:r w:rsidRPr="00DA3EAF">
        <w:rPr>
          <w:rFonts w:ascii="Times New Roman" w:hAnsi="Times New Roman" w:cs="Times New Roman"/>
          <w:b/>
          <w:i w:val="0"/>
          <w:color w:val="auto"/>
          <w:sz w:val="24"/>
        </w:rPr>
        <w:instrText xml:space="preserve"> SEQ Table \* ARABIC </w:instrText>
      </w:r>
      <w:r w:rsidRPr="00DA3EAF">
        <w:rPr>
          <w:rFonts w:ascii="Times New Roman" w:hAnsi="Times New Roman" w:cs="Times New Roman"/>
          <w:b/>
          <w:i w:val="0"/>
          <w:color w:val="auto"/>
          <w:sz w:val="24"/>
        </w:rPr>
        <w:fldChar w:fldCharType="separate"/>
      </w:r>
      <w:r w:rsidR="00C004AA">
        <w:rPr>
          <w:rFonts w:ascii="Times New Roman" w:hAnsi="Times New Roman" w:cs="Times New Roman"/>
          <w:b/>
          <w:i w:val="0"/>
          <w:noProof/>
          <w:color w:val="auto"/>
          <w:sz w:val="24"/>
        </w:rPr>
        <w:t>4</w:t>
      </w:r>
      <w:r w:rsidRPr="00DA3EAF">
        <w:rPr>
          <w:rFonts w:ascii="Times New Roman" w:hAnsi="Times New Roman" w:cs="Times New Roman"/>
          <w:b/>
          <w:i w:val="0"/>
          <w:color w:val="auto"/>
          <w:sz w:val="24"/>
        </w:rPr>
        <w:fldChar w:fldCharType="end"/>
      </w:r>
      <w:r w:rsidRPr="00DA3EAF">
        <w:rPr>
          <w:rFonts w:ascii="Times New Roman" w:hAnsi="Times New Roman" w:cs="Times New Roman"/>
          <w:b/>
          <w:i w:val="0"/>
          <w:color w:val="auto"/>
          <w:sz w:val="24"/>
        </w:rPr>
        <w:t>: Relationship between intrahousehold status and frequency of watching television</w:t>
      </w:r>
    </w:p>
    <w:tbl>
      <w:tblPr>
        <w:tblW w:w="8825" w:type="dxa"/>
        <w:tblLayout w:type="fixed"/>
        <w:tblCellMar>
          <w:left w:w="75" w:type="dxa"/>
          <w:right w:w="75" w:type="dxa"/>
        </w:tblCellMar>
        <w:tblLook w:val="04A0" w:firstRow="1" w:lastRow="0" w:firstColumn="1" w:lastColumn="0" w:noHBand="0" w:noVBand="1"/>
      </w:tblPr>
      <w:tblGrid>
        <w:gridCol w:w="4359"/>
        <w:gridCol w:w="2231"/>
        <w:gridCol w:w="2235"/>
      </w:tblGrid>
      <w:tr w:rsidR="002B6D0B" w14:paraId="4C36267F" w14:textId="77777777" w:rsidTr="00635931">
        <w:trPr>
          <w:trHeight w:val="223"/>
        </w:trPr>
        <w:tc>
          <w:tcPr>
            <w:tcW w:w="4359" w:type="dxa"/>
            <w:tcBorders>
              <w:top w:val="single" w:sz="6" w:space="0" w:color="auto"/>
              <w:left w:val="nil"/>
              <w:bottom w:val="nil"/>
              <w:right w:val="nil"/>
            </w:tcBorders>
          </w:tcPr>
          <w:p w14:paraId="3EE0B9E7"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Borders>
              <w:top w:val="single" w:sz="6" w:space="0" w:color="auto"/>
              <w:left w:val="nil"/>
              <w:bottom w:val="nil"/>
              <w:right w:val="nil"/>
            </w:tcBorders>
            <w:hideMark/>
          </w:tcPr>
          <w:p w14:paraId="4E48B992"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35" w:type="dxa"/>
            <w:tcBorders>
              <w:top w:val="single" w:sz="6" w:space="0" w:color="auto"/>
              <w:left w:val="nil"/>
              <w:bottom w:val="nil"/>
              <w:right w:val="nil"/>
            </w:tcBorders>
            <w:hideMark/>
          </w:tcPr>
          <w:p w14:paraId="5703EA08"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B6D0B" w14:paraId="6CEFE19A" w14:textId="77777777" w:rsidTr="00635931">
        <w:trPr>
          <w:trHeight w:val="278"/>
        </w:trPr>
        <w:tc>
          <w:tcPr>
            <w:tcW w:w="4359" w:type="dxa"/>
            <w:tcBorders>
              <w:top w:val="nil"/>
              <w:left w:val="nil"/>
              <w:bottom w:val="single" w:sz="6" w:space="0" w:color="auto"/>
              <w:right w:val="nil"/>
            </w:tcBorders>
            <w:hideMark/>
          </w:tcPr>
          <w:p w14:paraId="546FBE10"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Variables</w:t>
            </w:r>
          </w:p>
        </w:tc>
        <w:tc>
          <w:tcPr>
            <w:tcW w:w="2231" w:type="dxa"/>
            <w:tcBorders>
              <w:top w:val="nil"/>
              <w:left w:val="nil"/>
              <w:bottom w:val="single" w:sz="6" w:space="0" w:color="auto"/>
              <w:right w:val="nil"/>
            </w:tcBorders>
            <w:hideMark/>
          </w:tcPr>
          <w:p w14:paraId="5DDB432D"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Watch TV frequently</w:t>
            </w:r>
          </w:p>
        </w:tc>
        <w:tc>
          <w:tcPr>
            <w:tcW w:w="2235" w:type="dxa"/>
            <w:tcBorders>
              <w:top w:val="nil"/>
              <w:left w:val="nil"/>
              <w:bottom w:val="single" w:sz="6" w:space="0" w:color="auto"/>
              <w:right w:val="nil"/>
            </w:tcBorders>
            <w:hideMark/>
          </w:tcPr>
          <w:p w14:paraId="3FAD0D9C"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Watch TV frequently</w:t>
            </w:r>
          </w:p>
        </w:tc>
      </w:tr>
      <w:tr w:rsidR="002B6D0B" w14:paraId="53312A59" w14:textId="77777777" w:rsidTr="00635931">
        <w:trPr>
          <w:trHeight w:val="238"/>
        </w:trPr>
        <w:tc>
          <w:tcPr>
            <w:tcW w:w="4359" w:type="dxa"/>
          </w:tcPr>
          <w:p w14:paraId="49AEB92C"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Pr>
          <w:p w14:paraId="4F0299EF"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tcPr>
          <w:p w14:paraId="31D85492"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r>
      <w:tr w:rsidR="002B6D0B" w14:paraId="284EA849" w14:textId="77777777" w:rsidTr="00635931">
        <w:trPr>
          <w:trHeight w:val="223"/>
        </w:trPr>
        <w:tc>
          <w:tcPr>
            <w:tcW w:w="4359" w:type="dxa"/>
            <w:hideMark/>
          </w:tcPr>
          <w:p w14:paraId="203272D9" w14:textId="77777777" w:rsidR="002B6D0B" w:rsidRPr="0058529C" w:rsidRDefault="002B6D0B" w:rsidP="0078010B">
            <w:pPr>
              <w:widowControl w:val="0"/>
              <w:autoSpaceDE w:val="0"/>
              <w:autoSpaceDN w:val="0"/>
              <w:adjustRightInd w:val="0"/>
              <w:spacing w:after="0" w:line="276" w:lineRule="auto"/>
              <w:rPr>
                <w:rFonts w:ascii="Times New Roman" w:hAnsi="Times New Roman" w:cs="Times New Roman"/>
                <w:sz w:val="24"/>
                <w:szCs w:val="24"/>
              </w:rPr>
            </w:pPr>
            <w:r w:rsidRPr="0058529C">
              <w:rPr>
                <w:rFonts w:ascii="Times New Roman" w:hAnsi="Times New Roman" w:cs="Times New Roman"/>
                <w:sz w:val="24"/>
                <w:szCs w:val="24"/>
              </w:rPr>
              <w:t>First child is male</w:t>
            </w:r>
          </w:p>
        </w:tc>
        <w:tc>
          <w:tcPr>
            <w:tcW w:w="2231" w:type="dxa"/>
            <w:hideMark/>
          </w:tcPr>
          <w:p w14:paraId="4A6CB27E"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0.004**</w:t>
            </w:r>
          </w:p>
        </w:tc>
        <w:tc>
          <w:tcPr>
            <w:tcW w:w="2235" w:type="dxa"/>
          </w:tcPr>
          <w:p w14:paraId="47086670"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r>
      <w:tr w:rsidR="002B6D0B" w14:paraId="54DF1331" w14:textId="77777777" w:rsidTr="00635931">
        <w:trPr>
          <w:trHeight w:val="223"/>
        </w:trPr>
        <w:tc>
          <w:tcPr>
            <w:tcW w:w="4359" w:type="dxa"/>
          </w:tcPr>
          <w:p w14:paraId="6C9ACAF0"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hideMark/>
          </w:tcPr>
          <w:p w14:paraId="096851E7"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2235" w:type="dxa"/>
          </w:tcPr>
          <w:p w14:paraId="021AB003"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r>
      <w:tr w:rsidR="002B6D0B" w14:paraId="7355330D" w14:textId="77777777" w:rsidTr="00635931">
        <w:trPr>
          <w:trHeight w:val="223"/>
        </w:trPr>
        <w:tc>
          <w:tcPr>
            <w:tcW w:w="4359" w:type="dxa"/>
            <w:hideMark/>
          </w:tcPr>
          <w:p w14:paraId="0CF0302C"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Years of education</w:t>
            </w:r>
          </w:p>
        </w:tc>
        <w:tc>
          <w:tcPr>
            <w:tcW w:w="2231" w:type="dxa"/>
            <w:hideMark/>
          </w:tcPr>
          <w:p w14:paraId="7574CBA4"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0.053***</w:t>
            </w:r>
          </w:p>
        </w:tc>
        <w:tc>
          <w:tcPr>
            <w:tcW w:w="2235" w:type="dxa"/>
            <w:hideMark/>
          </w:tcPr>
          <w:p w14:paraId="1CB5539B"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0.051***</w:t>
            </w:r>
          </w:p>
        </w:tc>
      </w:tr>
      <w:tr w:rsidR="002B6D0B" w14:paraId="2C27DAA7" w14:textId="77777777" w:rsidTr="00635931">
        <w:trPr>
          <w:trHeight w:val="223"/>
        </w:trPr>
        <w:tc>
          <w:tcPr>
            <w:tcW w:w="4359" w:type="dxa"/>
          </w:tcPr>
          <w:p w14:paraId="26948072"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hideMark/>
          </w:tcPr>
          <w:p w14:paraId="2A105FAB"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2235" w:type="dxa"/>
            <w:hideMark/>
          </w:tcPr>
          <w:p w14:paraId="5132FD2F"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(0.001)</w:t>
            </w:r>
          </w:p>
        </w:tc>
      </w:tr>
      <w:tr w:rsidR="002B6D0B" w14:paraId="39BB9578" w14:textId="77777777" w:rsidTr="00635931">
        <w:trPr>
          <w:trHeight w:val="223"/>
        </w:trPr>
        <w:tc>
          <w:tcPr>
            <w:tcW w:w="4359" w:type="dxa"/>
            <w:hideMark/>
          </w:tcPr>
          <w:p w14:paraId="0FFC05B3"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(Years of education)</w:t>
            </w:r>
            <w:r>
              <w:rPr>
                <w:rFonts w:ascii="Times New Roman" w:hAnsi="Times New Roman"/>
                <w:sz w:val="24"/>
                <w:szCs w:val="24"/>
                <w:vertAlign w:val="superscript"/>
              </w:rPr>
              <w:t>2</w:t>
            </w:r>
          </w:p>
        </w:tc>
        <w:tc>
          <w:tcPr>
            <w:tcW w:w="2231" w:type="dxa"/>
            <w:hideMark/>
          </w:tcPr>
          <w:p w14:paraId="52734D03"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2235" w:type="dxa"/>
            <w:hideMark/>
          </w:tcPr>
          <w:p w14:paraId="2C5E53A4"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-0.002***</w:t>
            </w:r>
          </w:p>
        </w:tc>
      </w:tr>
      <w:tr w:rsidR="002B6D0B" w14:paraId="62DE2E17" w14:textId="77777777" w:rsidTr="00635931">
        <w:trPr>
          <w:trHeight w:val="223"/>
        </w:trPr>
        <w:tc>
          <w:tcPr>
            <w:tcW w:w="4359" w:type="dxa"/>
          </w:tcPr>
          <w:p w14:paraId="6C61DCBB"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hideMark/>
          </w:tcPr>
          <w:p w14:paraId="015DDE5C"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2235" w:type="dxa"/>
            <w:hideMark/>
          </w:tcPr>
          <w:p w14:paraId="09281C9B"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(0.000)</w:t>
            </w:r>
          </w:p>
        </w:tc>
      </w:tr>
      <w:tr w:rsidR="002B6D0B" w14:paraId="1F508F54" w14:textId="77777777" w:rsidTr="00635931">
        <w:trPr>
          <w:trHeight w:val="223"/>
        </w:trPr>
        <w:tc>
          <w:tcPr>
            <w:tcW w:w="4359" w:type="dxa"/>
            <w:hideMark/>
          </w:tcPr>
          <w:p w14:paraId="009B0E26"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i/>
              </w:rPr>
              <w:t>Type of work: (Base = Agriculture)</w:t>
            </w:r>
          </w:p>
        </w:tc>
        <w:tc>
          <w:tcPr>
            <w:tcW w:w="2231" w:type="dxa"/>
          </w:tcPr>
          <w:p w14:paraId="577A853F"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tcPr>
          <w:p w14:paraId="125699A2"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r>
      <w:tr w:rsidR="002B6D0B" w14:paraId="0F46FE3A" w14:textId="77777777" w:rsidTr="00635931">
        <w:trPr>
          <w:trHeight w:val="238"/>
        </w:trPr>
        <w:tc>
          <w:tcPr>
            <w:tcW w:w="4359" w:type="dxa"/>
            <w:hideMark/>
          </w:tcPr>
          <w:p w14:paraId="70975B2F"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No paid work</w:t>
            </w:r>
          </w:p>
        </w:tc>
        <w:tc>
          <w:tcPr>
            <w:tcW w:w="2231" w:type="dxa"/>
          </w:tcPr>
          <w:p w14:paraId="799219D3"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74F5A850"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0.014**</w:t>
            </w:r>
          </w:p>
        </w:tc>
      </w:tr>
      <w:tr w:rsidR="002B6D0B" w14:paraId="6B2B32BA" w14:textId="77777777" w:rsidTr="00635931">
        <w:trPr>
          <w:trHeight w:val="223"/>
        </w:trPr>
        <w:tc>
          <w:tcPr>
            <w:tcW w:w="4359" w:type="dxa"/>
          </w:tcPr>
          <w:p w14:paraId="31939F9C"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Pr>
          <w:p w14:paraId="075EE16B"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5DFA6CC2"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(0.007)</w:t>
            </w:r>
          </w:p>
        </w:tc>
      </w:tr>
      <w:tr w:rsidR="002B6D0B" w14:paraId="4E0709E1" w14:textId="77777777" w:rsidTr="00635931">
        <w:trPr>
          <w:trHeight w:val="223"/>
        </w:trPr>
        <w:tc>
          <w:tcPr>
            <w:tcW w:w="4359" w:type="dxa"/>
            <w:hideMark/>
          </w:tcPr>
          <w:p w14:paraId="73460B1E"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Office work</w:t>
            </w:r>
          </w:p>
        </w:tc>
        <w:tc>
          <w:tcPr>
            <w:tcW w:w="2231" w:type="dxa"/>
          </w:tcPr>
          <w:p w14:paraId="61258059"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76B9B94F"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0.021**</w:t>
            </w:r>
          </w:p>
        </w:tc>
      </w:tr>
      <w:tr w:rsidR="002B6D0B" w14:paraId="0F4E0012" w14:textId="77777777" w:rsidTr="00635931">
        <w:trPr>
          <w:trHeight w:val="238"/>
        </w:trPr>
        <w:tc>
          <w:tcPr>
            <w:tcW w:w="4359" w:type="dxa"/>
          </w:tcPr>
          <w:p w14:paraId="7F12D214"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Pr>
          <w:p w14:paraId="10124533"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27F579CA"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(0.010)</w:t>
            </w:r>
          </w:p>
        </w:tc>
      </w:tr>
      <w:tr w:rsidR="002B6D0B" w14:paraId="0DD371FA" w14:textId="77777777" w:rsidTr="00635931">
        <w:trPr>
          <w:trHeight w:val="223"/>
        </w:trPr>
        <w:tc>
          <w:tcPr>
            <w:tcW w:w="4359" w:type="dxa"/>
            <w:hideMark/>
          </w:tcPr>
          <w:p w14:paraId="3E65632B"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Services</w:t>
            </w:r>
          </w:p>
        </w:tc>
        <w:tc>
          <w:tcPr>
            <w:tcW w:w="2231" w:type="dxa"/>
          </w:tcPr>
          <w:p w14:paraId="529A3E0A"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024AE22C"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0.037***</w:t>
            </w:r>
          </w:p>
        </w:tc>
      </w:tr>
      <w:tr w:rsidR="002B6D0B" w14:paraId="02DA1918" w14:textId="77777777" w:rsidTr="00635931">
        <w:trPr>
          <w:trHeight w:val="238"/>
        </w:trPr>
        <w:tc>
          <w:tcPr>
            <w:tcW w:w="4359" w:type="dxa"/>
          </w:tcPr>
          <w:p w14:paraId="03C83BF3"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Pr>
          <w:p w14:paraId="33B07F44"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150F3111"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(0.013)</w:t>
            </w:r>
          </w:p>
        </w:tc>
      </w:tr>
      <w:tr w:rsidR="002B6D0B" w14:paraId="0F8D9794" w14:textId="77777777" w:rsidTr="00635931">
        <w:trPr>
          <w:trHeight w:val="223"/>
        </w:trPr>
        <w:tc>
          <w:tcPr>
            <w:tcW w:w="4359" w:type="dxa"/>
            <w:hideMark/>
          </w:tcPr>
          <w:p w14:paraId="04015EE0"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Manual labour</w:t>
            </w:r>
          </w:p>
        </w:tc>
        <w:tc>
          <w:tcPr>
            <w:tcW w:w="2231" w:type="dxa"/>
          </w:tcPr>
          <w:p w14:paraId="43A170D9"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23730B84"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0.020*</w:t>
            </w:r>
          </w:p>
        </w:tc>
      </w:tr>
      <w:tr w:rsidR="002B6D0B" w14:paraId="263EC70B" w14:textId="77777777" w:rsidTr="00635931">
        <w:trPr>
          <w:trHeight w:val="223"/>
        </w:trPr>
        <w:tc>
          <w:tcPr>
            <w:tcW w:w="4359" w:type="dxa"/>
          </w:tcPr>
          <w:p w14:paraId="45FCCD53"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Pr>
          <w:p w14:paraId="0E5DCAB6"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hideMark/>
          </w:tcPr>
          <w:p w14:paraId="3F366EA0"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(0.011)</w:t>
            </w:r>
          </w:p>
        </w:tc>
      </w:tr>
      <w:tr w:rsidR="002B6D0B" w14:paraId="7CB8C308" w14:textId="77777777" w:rsidTr="00635931">
        <w:trPr>
          <w:trHeight w:val="238"/>
        </w:trPr>
        <w:tc>
          <w:tcPr>
            <w:tcW w:w="4359" w:type="dxa"/>
            <w:hideMark/>
          </w:tcPr>
          <w:p w14:paraId="5166BF72"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Constant</w:t>
            </w:r>
          </w:p>
        </w:tc>
        <w:tc>
          <w:tcPr>
            <w:tcW w:w="2231" w:type="dxa"/>
            <w:hideMark/>
          </w:tcPr>
          <w:p w14:paraId="6DCB5912"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0.284***</w:t>
            </w:r>
          </w:p>
        </w:tc>
        <w:tc>
          <w:tcPr>
            <w:tcW w:w="2235" w:type="dxa"/>
            <w:hideMark/>
          </w:tcPr>
          <w:p w14:paraId="2D24ED85"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0.277***</w:t>
            </w:r>
          </w:p>
        </w:tc>
      </w:tr>
      <w:tr w:rsidR="002B6D0B" w14:paraId="66490604" w14:textId="77777777" w:rsidTr="00635931">
        <w:trPr>
          <w:trHeight w:val="223"/>
        </w:trPr>
        <w:tc>
          <w:tcPr>
            <w:tcW w:w="4359" w:type="dxa"/>
          </w:tcPr>
          <w:p w14:paraId="571F0131"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hideMark/>
          </w:tcPr>
          <w:p w14:paraId="5B7D953B"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(0.018)</w:t>
            </w:r>
          </w:p>
        </w:tc>
        <w:tc>
          <w:tcPr>
            <w:tcW w:w="2235" w:type="dxa"/>
            <w:hideMark/>
          </w:tcPr>
          <w:p w14:paraId="7BD2EFDE"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(0.021)</w:t>
            </w:r>
          </w:p>
        </w:tc>
      </w:tr>
      <w:tr w:rsidR="002B6D0B" w14:paraId="3C9D940F" w14:textId="77777777" w:rsidTr="00635931">
        <w:trPr>
          <w:trHeight w:val="238"/>
        </w:trPr>
        <w:tc>
          <w:tcPr>
            <w:tcW w:w="4359" w:type="dxa"/>
          </w:tcPr>
          <w:p w14:paraId="1A78B6B9"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p>
        </w:tc>
        <w:tc>
          <w:tcPr>
            <w:tcW w:w="2231" w:type="dxa"/>
          </w:tcPr>
          <w:p w14:paraId="2406A6EF"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c>
          <w:tcPr>
            <w:tcW w:w="2235" w:type="dxa"/>
          </w:tcPr>
          <w:p w14:paraId="2E3EDC7E"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p>
        </w:tc>
      </w:tr>
      <w:tr w:rsidR="002B6D0B" w14:paraId="439EBD91" w14:textId="77777777" w:rsidTr="00635931">
        <w:trPr>
          <w:trHeight w:val="238"/>
        </w:trPr>
        <w:tc>
          <w:tcPr>
            <w:tcW w:w="4359" w:type="dxa"/>
            <w:hideMark/>
          </w:tcPr>
          <w:p w14:paraId="0445C577"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sz w:val="24"/>
                <w:szCs w:val="24"/>
              </w:rPr>
              <w:t>Control variables</w:t>
            </w:r>
          </w:p>
        </w:tc>
        <w:tc>
          <w:tcPr>
            <w:tcW w:w="2231" w:type="dxa"/>
            <w:hideMark/>
          </w:tcPr>
          <w:p w14:paraId="03B51AAF"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2235" w:type="dxa"/>
            <w:hideMark/>
          </w:tcPr>
          <w:p w14:paraId="55CD64BE"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Yes</w:t>
            </w:r>
          </w:p>
        </w:tc>
      </w:tr>
      <w:tr w:rsidR="002B6D0B" w14:paraId="047C5CEF" w14:textId="77777777" w:rsidTr="00635931">
        <w:trPr>
          <w:trHeight w:val="223"/>
        </w:trPr>
        <w:tc>
          <w:tcPr>
            <w:tcW w:w="4359" w:type="dxa"/>
            <w:hideMark/>
          </w:tcPr>
          <w:p w14:paraId="3BDB36C6"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Observations</w:t>
            </w:r>
          </w:p>
        </w:tc>
        <w:tc>
          <w:tcPr>
            <w:tcW w:w="2231" w:type="dxa"/>
            <w:hideMark/>
          </w:tcPr>
          <w:p w14:paraId="63D10E43"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428,235</w:t>
            </w:r>
          </w:p>
        </w:tc>
        <w:tc>
          <w:tcPr>
            <w:tcW w:w="2235" w:type="dxa"/>
            <w:hideMark/>
          </w:tcPr>
          <w:p w14:paraId="661D135A"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109,388</w:t>
            </w:r>
          </w:p>
        </w:tc>
      </w:tr>
      <w:tr w:rsidR="002B6D0B" w14:paraId="6D652A27" w14:textId="77777777" w:rsidTr="00635931">
        <w:trPr>
          <w:trHeight w:val="356"/>
        </w:trPr>
        <w:tc>
          <w:tcPr>
            <w:tcW w:w="4359" w:type="dxa"/>
            <w:tcBorders>
              <w:top w:val="nil"/>
              <w:left w:val="nil"/>
              <w:bottom w:val="single" w:sz="6" w:space="0" w:color="auto"/>
              <w:right w:val="nil"/>
            </w:tcBorders>
            <w:hideMark/>
          </w:tcPr>
          <w:p w14:paraId="3205EC41" w14:textId="77777777" w:rsidR="002B6D0B" w:rsidRDefault="002B6D0B" w:rsidP="0078010B">
            <w:pPr>
              <w:widowControl w:val="0"/>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R-squared</w:t>
            </w:r>
          </w:p>
        </w:tc>
        <w:tc>
          <w:tcPr>
            <w:tcW w:w="2231" w:type="dxa"/>
            <w:tcBorders>
              <w:top w:val="nil"/>
              <w:left w:val="nil"/>
              <w:bottom w:val="single" w:sz="6" w:space="0" w:color="auto"/>
              <w:right w:val="nil"/>
            </w:tcBorders>
            <w:hideMark/>
          </w:tcPr>
          <w:p w14:paraId="284552A1" w14:textId="77777777" w:rsidR="002B6D0B"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0.199</w:t>
            </w:r>
          </w:p>
        </w:tc>
        <w:tc>
          <w:tcPr>
            <w:tcW w:w="2235" w:type="dxa"/>
            <w:tcBorders>
              <w:top w:val="nil"/>
              <w:left w:val="nil"/>
              <w:bottom w:val="single" w:sz="6" w:space="0" w:color="auto"/>
              <w:right w:val="nil"/>
            </w:tcBorders>
            <w:hideMark/>
          </w:tcPr>
          <w:p w14:paraId="067FBC3D" w14:textId="77777777" w:rsidR="002B6D0B" w:rsidRPr="00B26DE1" w:rsidRDefault="002B6D0B" w:rsidP="0078010B">
            <w:pPr>
              <w:widowControl w:val="0"/>
              <w:autoSpaceDE w:val="0"/>
              <w:autoSpaceDN w:val="0"/>
              <w:adjustRightInd w:val="0"/>
              <w:spacing w:after="0" w:line="276" w:lineRule="auto"/>
              <w:jc w:val="center"/>
              <w:rPr>
                <w:rFonts w:ascii="Times New Roman" w:hAnsi="Times New Roman" w:cs="Times New Roman"/>
                <w:sz w:val="24"/>
                <w:szCs w:val="24"/>
              </w:rPr>
            </w:pPr>
            <w:r w:rsidRPr="00B26DE1">
              <w:rPr>
                <w:rFonts w:ascii="Times New Roman" w:hAnsi="Times New Roman" w:cs="Times New Roman"/>
                <w:sz w:val="24"/>
                <w:szCs w:val="24"/>
              </w:rPr>
              <w:t>0.184</w:t>
            </w:r>
          </w:p>
        </w:tc>
      </w:tr>
    </w:tbl>
    <w:p w14:paraId="5D0F0AA2" w14:textId="77777777" w:rsidR="009C3558" w:rsidRDefault="009C3558" w:rsidP="009C3558">
      <w:pPr>
        <w:spacing w:after="0" w:line="276" w:lineRule="auto"/>
        <w:jc w:val="center"/>
        <w:rPr>
          <w:rFonts w:ascii="Times New Roman" w:hAnsi="Times New Roman" w:cs="Times New Roman"/>
        </w:rPr>
      </w:pPr>
      <w:r>
        <w:rPr>
          <w:rFonts w:ascii="Times New Roman" w:hAnsi="Times New Roman" w:cs="Times New Roman"/>
        </w:rPr>
        <w:t>Note: Standard errors are clustered at primary sampling unit and are shown in parentheses.</w:t>
      </w:r>
    </w:p>
    <w:p w14:paraId="2517DB6B" w14:textId="77777777" w:rsidR="009C3558" w:rsidRDefault="009C3558" w:rsidP="009C3558">
      <w:pPr>
        <w:spacing w:line="276" w:lineRule="auto"/>
        <w:jc w:val="center"/>
        <w:rPr>
          <w:rFonts w:ascii="Times New Roman" w:hAnsi="Times New Roman" w:cs="Times New Roman"/>
          <w:b/>
          <w:sz w:val="24"/>
        </w:rPr>
      </w:pPr>
      <w:r>
        <w:rPr>
          <w:rFonts w:ascii="Times New Roman" w:hAnsi="Times New Roman" w:cs="Times New Roman"/>
        </w:rPr>
        <w:t>*** p&lt;0.01, ** p&lt;0.05, * p&lt;0.1</w:t>
      </w:r>
    </w:p>
    <w:p w14:paraId="1F49674C" w14:textId="77777777" w:rsidR="009C3558" w:rsidRDefault="009C3558" w:rsidP="009C3558">
      <w:pPr>
        <w:spacing w:line="276" w:lineRule="auto"/>
        <w:rPr>
          <w:rFonts w:ascii="Times New Roman" w:hAnsi="Times New Roman" w:cs="Times New Roman"/>
          <w:b/>
          <w:sz w:val="24"/>
        </w:rPr>
      </w:pPr>
      <w:r>
        <w:rPr>
          <w:rFonts w:ascii="Times New Roman" w:hAnsi="Times New Roman" w:cs="Times New Roman"/>
          <w:b/>
          <w:sz w:val="24"/>
        </w:rPr>
        <w:br w:type="page"/>
      </w:r>
    </w:p>
    <w:p w14:paraId="5E0C96C4" w14:textId="77777777" w:rsidR="009C3558" w:rsidRDefault="009C3558" w:rsidP="009C3558">
      <w:pPr>
        <w:spacing w:line="276" w:lineRule="auto"/>
        <w:jc w:val="both"/>
      </w:pPr>
      <w:r>
        <w:rPr>
          <w:rFonts w:ascii="Times New Roman" w:hAnsi="Times New Roman" w:cs="Times New Roman"/>
          <w:b/>
          <w:sz w:val="24"/>
        </w:rPr>
        <w:lastRenderedPageBreak/>
        <w:t xml:space="preserve">Table </w:t>
      </w:r>
      <w:r>
        <w:rPr>
          <w:rFonts w:ascii="Times New Roman" w:hAnsi="Times New Roman" w:cs="Times New Roman"/>
          <w:b/>
          <w:sz w:val="24"/>
        </w:rPr>
        <w:fldChar w:fldCharType="begin"/>
      </w:r>
      <w:r>
        <w:rPr>
          <w:rFonts w:ascii="Times New Roman" w:hAnsi="Times New Roman" w:cs="Times New Roman"/>
          <w:b/>
          <w:sz w:val="24"/>
        </w:rPr>
        <w:instrText xml:space="preserve"> SEQ Table \* ARABIC </w:instrText>
      </w:r>
      <w:r>
        <w:rPr>
          <w:rFonts w:ascii="Times New Roman" w:hAnsi="Times New Roman" w:cs="Times New Roman"/>
          <w:b/>
          <w:sz w:val="24"/>
        </w:rPr>
        <w:fldChar w:fldCharType="separate"/>
      </w:r>
      <w:r w:rsidR="00C004AA">
        <w:rPr>
          <w:rFonts w:ascii="Times New Roman" w:hAnsi="Times New Roman" w:cs="Times New Roman"/>
          <w:b/>
          <w:noProof/>
          <w:sz w:val="24"/>
        </w:rPr>
        <w:t>5</w:t>
      </w:r>
      <w:r>
        <w:rPr>
          <w:rFonts w:ascii="Times New Roman" w:hAnsi="Times New Roman" w:cs="Times New Roman"/>
          <w:b/>
          <w:sz w:val="24"/>
        </w:rPr>
        <w:fldChar w:fldCharType="end"/>
      </w:r>
      <w:r>
        <w:rPr>
          <w:rFonts w:ascii="Times New Roman" w:hAnsi="Times New Roman" w:cs="Times New Roman"/>
          <w:b/>
          <w:sz w:val="24"/>
        </w:rPr>
        <w:t>: Relationship between intrahousehold status and eating out</w:t>
      </w:r>
    </w:p>
    <w:tbl>
      <w:tblPr>
        <w:tblW w:w="0" w:type="auto"/>
        <w:jc w:val="center"/>
        <w:tblLayout w:type="fixed"/>
        <w:tblCellMar>
          <w:left w:w="75" w:type="dxa"/>
          <w:right w:w="75" w:type="dxa"/>
        </w:tblCellMar>
        <w:tblLook w:val="04A0" w:firstRow="1" w:lastRow="0" w:firstColumn="1" w:lastColumn="0" w:noHBand="0" w:noVBand="1"/>
      </w:tblPr>
      <w:tblGrid>
        <w:gridCol w:w="4251"/>
        <w:gridCol w:w="1584"/>
        <w:gridCol w:w="1584"/>
        <w:gridCol w:w="1584"/>
      </w:tblGrid>
      <w:tr w:rsidR="009C3558" w14:paraId="2DACAD8D" w14:textId="77777777" w:rsidTr="0078010B">
        <w:trPr>
          <w:jc w:val="center"/>
        </w:trPr>
        <w:tc>
          <w:tcPr>
            <w:tcW w:w="4251" w:type="dxa"/>
            <w:tcBorders>
              <w:top w:val="single" w:sz="6" w:space="0" w:color="auto"/>
              <w:left w:val="nil"/>
              <w:bottom w:val="nil"/>
              <w:right w:val="nil"/>
            </w:tcBorders>
          </w:tcPr>
          <w:p w14:paraId="2400B3F9" w14:textId="77777777" w:rsidR="009C3558" w:rsidRDefault="009C3558" w:rsidP="0078010B">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Borders>
              <w:top w:val="single" w:sz="6" w:space="0" w:color="auto"/>
              <w:left w:val="nil"/>
              <w:bottom w:val="nil"/>
              <w:right w:val="nil"/>
            </w:tcBorders>
            <w:hideMark/>
          </w:tcPr>
          <w:p w14:paraId="4A0517F8" w14:textId="77777777" w:rsidR="009C3558" w:rsidRDefault="009C3558"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tcBorders>
              <w:top w:val="single" w:sz="6" w:space="0" w:color="auto"/>
              <w:left w:val="nil"/>
              <w:bottom w:val="nil"/>
              <w:right w:val="nil"/>
            </w:tcBorders>
            <w:hideMark/>
          </w:tcPr>
          <w:p w14:paraId="40756DFE" w14:textId="77777777" w:rsidR="009C3558" w:rsidRDefault="009C3558"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4" w:type="dxa"/>
            <w:tcBorders>
              <w:top w:val="single" w:sz="6" w:space="0" w:color="auto"/>
              <w:left w:val="nil"/>
              <w:bottom w:val="nil"/>
              <w:right w:val="nil"/>
            </w:tcBorders>
            <w:hideMark/>
          </w:tcPr>
          <w:p w14:paraId="74098E80" w14:textId="77777777" w:rsidR="009C3558" w:rsidRDefault="009C3558"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C3558" w14:paraId="16F00C2B" w14:textId="77777777" w:rsidTr="0078010B">
        <w:trPr>
          <w:jc w:val="center"/>
        </w:trPr>
        <w:tc>
          <w:tcPr>
            <w:tcW w:w="4251" w:type="dxa"/>
            <w:tcBorders>
              <w:top w:val="nil"/>
              <w:left w:val="nil"/>
              <w:bottom w:val="single" w:sz="6" w:space="0" w:color="auto"/>
              <w:right w:val="nil"/>
            </w:tcBorders>
            <w:hideMark/>
          </w:tcPr>
          <w:p w14:paraId="548AC72C" w14:textId="77777777" w:rsidR="009C3558" w:rsidRDefault="009C3558" w:rsidP="0078010B">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Dependent variable: Eating out</w:t>
            </w:r>
          </w:p>
        </w:tc>
        <w:tc>
          <w:tcPr>
            <w:tcW w:w="1584" w:type="dxa"/>
            <w:tcBorders>
              <w:top w:val="nil"/>
              <w:left w:val="nil"/>
              <w:bottom w:val="single" w:sz="6" w:space="0" w:color="auto"/>
              <w:right w:val="nil"/>
            </w:tcBorders>
            <w:hideMark/>
          </w:tcPr>
          <w:p w14:paraId="6B07D1BA" w14:textId="77777777" w:rsidR="009C3558" w:rsidRDefault="009C3558"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584" w:type="dxa"/>
            <w:tcBorders>
              <w:top w:val="nil"/>
              <w:left w:val="nil"/>
              <w:bottom w:val="single" w:sz="6" w:space="0" w:color="auto"/>
              <w:right w:val="nil"/>
            </w:tcBorders>
            <w:hideMark/>
          </w:tcPr>
          <w:p w14:paraId="2605B83F" w14:textId="77777777" w:rsidR="009C3558" w:rsidRDefault="009C3558"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Rural</w:t>
            </w:r>
          </w:p>
        </w:tc>
        <w:tc>
          <w:tcPr>
            <w:tcW w:w="1584" w:type="dxa"/>
            <w:tcBorders>
              <w:top w:val="nil"/>
              <w:left w:val="nil"/>
              <w:bottom w:val="single" w:sz="6" w:space="0" w:color="auto"/>
              <w:right w:val="nil"/>
            </w:tcBorders>
            <w:hideMark/>
          </w:tcPr>
          <w:p w14:paraId="4479FD1D" w14:textId="77777777" w:rsidR="009C3558" w:rsidRDefault="009C3558" w:rsidP="0078010B">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Urban</w:t>
            </w:r>
          </w:p>
        </w:tc>
      </w:tr>
      <w:tr w:rsidR="009C3558" w14:paraId="7FEB9EBD" w14:textId="77777777" w:rsidTr="0078010B">
        <w:trPr>
          <w:jc w:val="center"/>
        </w:trPr>
        <w:tc>
          <w:tcPr>
            <w:tcW w:w="4251" w:type="dxa"/>
          </w:tcPr>
          <w:p w14:paraId="120F7DCE" w14:textId="77777777" w:rsidR="009C3558" w:rsidRDefault="009C3558" w:rsidP="0078010B">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7759F371" w14:textId="77777777" w:rsidR="009C3558" w:rsidRDefault="009C3558" w:rsidP="0078010B">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50DD2B50" w14:textId="77777777" w:rsidR="009C3558" w:rsidRDefault="009C3558" w:rsidP="0078010B">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4FD3803E" w14:textId="77777777" w:rsidR="009C3558" w:rsidRDefault="009C3558" w:rsidP="0078010B">
            <w:pPr>
              <w:widowControl w:val="0"/>
              <w:autoSpaceDE w:val="0"/>
              <w:autoSpaceDN w:val="0"/>
              <w:adjustRightInd w:val="0"/>
              <w:spacing w:after="0" w:line="276" w:lineRule="auto"/>
              <w:jc w:val="both"/>
              <w:rPr>
                <w:rFonts w:ascii="Times New Roman" w:hAnsi="Times New Roman" w:cs="Times New Roman"/>
                <w:sz w:val="24"/>
                <w:szCs w:val="24"/>
              </w:rPr>
            </w:pPr>
          </w:p>
        </w:tc>
      </w:tr>
      <w:tr w:rsidR="002E458C" w14:paraId="78C42152" w14:textId="77777777" w:rsidTr="009E1926">
        <w:trPr>
          <w:jc w:val="center"/>
        </w:trPr>
        <w:tc>
          <w:tcPr>
            <w:tcW w:w="4251" w:type="dxa"/>
            <w:hideMark/>
          </w:tcPr>
          <w:p w14:paraId="0D35BF29"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Chhoti</w:t>
            </w:r>
            <w:proofErr w:type="spellEnd"/>
            <w:r>
              <w:rPr>
                <w:rFonts w:ascii="Times New Roman" w:hAnsi="Times New Roman" w:cs="Times New Roman"/>
                <w:i/>
                <w:sz w:val="24"/>
                <w:szCs w:val="24"/>
              </w:rPr>
              <w:t>-bahu</w:t>
            </w:r>
          </w:p>
        </w:tc>
        <w:tc>
          <w:tcPr>
            <w:tcW w:w="1584" w:type="dxa"/>
          </w:tcPr>
          <w:p w14:paraId="61F33D2B"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Pr>
          <w:p w14:paraId="4B7E7A14"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Pr>
          <w:p w14:paraId="4E1E3AD7"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r>
      <w:tr w:rsidR="002E458C" w14:paraId="3329DE57" w14:textId="77777777" w:rsidTr="009E1926">
        <w:trPr>
          <w:jc w:val="center"/>
        </w:trPr>
        <w:tc>
          <w:tcPr>
            <w:tcW w:w="4251" w:type="dxa"/>
          </w:tcPr>
          <w:p w14:paraId="173F311D"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6E4BF5C8"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Pr>
          <w:p w14:paraId="7320E819"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Pr>
          <w:p w14:paraId="5074FD65"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r>
      <w:tr w:rsidR="002E458C" w14:paraId="63CC3CE4" w14:textId="77777777" w:rsidTr="009E1926">
        <w:trPr>
          <w:jc w:val="center"/>
        </w:trPr>
        <w:tc>
          <w:tcPr>
            <w:tcW w:w="4251" w:type="dxa"/>
            <w:hideMark/>
          </w:tcPr>
          <w:p w14:paraId="6843707E"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sz w:val="24"/>
                <w:szCs w:val="24"/>
              </w:rPr>
              <w:t>Age</w:t>
            </w:r>
          </w:p>
        </w:tc>
        <w:tc>
          <w:tcPr>
            <w:tcW w:w="1584" w:type="dxa"/>
          </w:tcPr>
          <w:p w14:paraId="7E3F7726"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Pr>
          <w:p w14:paraId="63CAE3CA"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584" w:type="dxa"/>
          </w:tcPr>
          <w:p w14:paraId="7991A74D"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r>
      <w:tr w:rsidR="002E458C" w14:paraId="7872D5C3" w14:textId="77777777" w:rsidTr="009E1926">
        <w:trPr>
          <w:jc w:val="center"/>
        </w:trPr>
        <w:tc>
          <w:tcPr>
            <w:tcW w:w="4251" w:type="dxa"/>
          </w:tcPr>
          <w:p w14:paraId="2D48E3DA"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6059E0AF"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Pr>
          <w:p w14:paraId="730D8624"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Pr>
          <w:p w14:paraId="68E01AD9"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2E458C" w14:paraId="738FF148" w14:textId="77777777" w:rsidTr="009E1926">
        <w:trPr>
          <w:jc w:val="center"/>
        </w:trPr>
        <w:tc>
          <w:tcPr>
            <w:tcW w:w="4251" w:type="dxa"/>
            <w:hideMark/>
          </w:tcPr>
          <w:p w14:paraId="687F9F5C"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sz w:val="24"/>
                <w:szCs w:val="24"/>
              </w:rPr>
              <w:t>(Age)</w:t>
            </w:r>
            <w:r>
              <w:rPr>
                <w:rFonts w:ascii="Times New Roman" w:hAnsi="Times New Roman"/>
                <w:sz w:val="24"/>
                <w:szCs w:val="24"/>
                <w:vertAlign w:val="superscript"/>
              </w:rPr>
              <w:t>2</w:t>
            </w:r>
          </w:p>
        </w:tc>
        <w:tc>
          <w:tcPr>
            <w:tcW w:w="1584" w:type="dxa"/>
          </w:tcPr>
          <w:p w14:paraId="031180A4"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Pr>
          <w:p w14:paraId="5180BC7D"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Pr>
          <w:p w14:paraId="52CBE7FF"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2E458C" w14:paraId="7BCCDBF8" w14:textId="77777777" w:rsidTr="009E1926">
        <w:trPr>
          <w:jc w:val="center"/>
        </w:trPr>
        <w:tc>
          <w:tcPr>
            <w:tcW w:w="4251" w:type="dxa"/>
          </w:tcPr>
          <w:p w14:paraId="74285A94"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4B27D0AF"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Pr>
          <w:p w14:paraId="517D9939"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Pr>
          <w:p w14:paraId="5A6BFCC4"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r>
      <w:tr w:rsidR="002E458C" w14:paraId="0B9ED774" w14:textId="77777777" w:rsidTr="009E1926">
        <w:trPr>
          <w:jc w:val="center"/>
        </w:trPr>
        <w:tc>
          <w:tcPr>
            <w:tcW w:w="4251" w:type="dxa"/>
            <w:hideMark/>
          </w:tcPr>
          <w:p w14:paraId="7D1FA117"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If any days away</w:t>
            </w:r>
            <w:r w:rsidR="00C76DC2">
              <w:rPr>
                <w:rFonts w:ascii="Times New Roman" w:hAnsi="Times New Roman" w:cs="Times New Roman"/>
                <w:sz w:val="24"/>
                <w:szCs w:val="24"/>
              </w:rPr>
              <w:t xml:space="preserve"> from home</w:t>
            </w:r>
          </w:p>
        </w:tc>
        <w:tc>
          <w:tcPr>
            <w:tcW w:w="1584" w:type="dxa"/>
          </w:tcPr>
          <w:p w14:paraId="4173F40E"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0.160***</w:t>
            </w:r>
          </w:p>
        </w:tc>
        <w:tc>
          <w:tcPr>
            <w:tcW w:w="1584" w:type="dxa"/>
          </w:tcPr>
          <w:p w14:paraId="18668AF0"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584" w:type="dxa"/>
          </w:tcPr>
          <w:p w14:paraId="30ECE876"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0.195***</w:t>
            </w:r>
          </w:p>
        </w:tc>
      </w:tr>
      <w:tr w:rsidR="002E458C" w14:paraId="04A19E28" w14:textId="77777777" w:rsidTr="009E1926">
        <w:trPr>
          <w:jc w:val="center"/>
        </w:trPr>
        <w:tc>
          <w:tcPr>
            <w:tcW w:w="4251" w:type="dxa"/>
          </w:tcPr>
          <w:p w14:paraId="67BC35C9"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3A684626"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584" w:type="dxa"/>
          </w:tcPr>
          <w:p w14:paraId="4D57E962"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w:t>
            </w:r>
          </w:p>
        </w:tc>
        <w:tc>
          <w:tcPr>
            <w:tcW w:w="1584" w:type="dxa"/>
          </w:tcPr>
          <w:p w14:paraId="40A13CAD"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w:t>
            </w:r>
          </w:p>
        </w:tc>
      </w:tr>
      <w:tr w:rsidR="002E458C" w14:paraId="7767FEA0" w14:textId="77777777" w:rsidTr="009E1926">
        <w:trPr>
          <w:jc w:val="center"/>
        </w:trPr>
        <w:tc>
          <w:tcPr>
            <w:tcW w:w="4251" w:type="dxa"/>
            <w:hideMark/>
          </w:tcPr>
          <w:p w14:paraId="473D07D3" w14:textId="77777777" w:rsidR="002E458C" w:rsidRDefault="00547985" w:rsidP="002E458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A82910">
              <w:rPr>
                <w:rFonts w:ascii="Times New Roman" w:hAnsi="Times New Roman" w:cs="Times New Roman"/>
                <w:sz w:val="24"/>
                <w:szCs w:val="24"/>
              </w:rPr>
              <w:t xml:space="preserve">any </w:t>
            </w:r>
            <w:r>
              <w:rPr>
                <w:rFonts w:ascii="Times New Roman" w:hAnsi="Times New Roman" w:cs="Times New Roman"/>
                <w:sz w:val="24"/>
                <w:szCs w:val="24"/>
              </w:rPr>
              <w:t>o</w:t>
            </w:r>
            <w:r w:rsidR="002E458C">
              <w:rPr>
                <w:rFonts w:ascii="Times New Roman" w:hAnsi="Times New Roman" w:cs="Times New Roman"/>
                <w:sz w:val="24"/>
                <w:szCs w:val="24"/>
              </w:rPr>
              <w:t>ther meals outside home</w:t>
            </w:r>
          </w:p>
        </w:tc>
        <w:tc>
          <w:tcPr>
            <w:tcW w:w="1584" w:type="dxa"/>
          </w:tcPr>
          <w:p w14:paraId="0B61F256"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-0.130***</w:t>
            </w:r>
          </w:p>
        </w:tc>
        <w:tc>
          <w:tcPr>
            <w:tcW w:w="1584" w:type="dxa"/>
          </w:tcPr>
          <w:p w14:paraId="479A8810"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584" w:type="dxa"/>
          </w:tcPr>
          <w:p w14:paraId="0E6297D8"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-0.174***</w:t>
            </w:r>
          </w:p>
        </w:tc>
      </w:tr>
      <w:tr w:rsidR="002E458C" w14:paraId="6C37A121" w14:textId="77777777" w:rsidTr="009E1926">
        <w:trPr>
          <w:jc w:val="center"/>
        </w:trPr>
        <w:tc>
          <w:tcPr>
            <w:tcW w:w="4251" w:type="dxa"/>
          </w:tcPr>
          <w:p w14:paraId="6BA03310"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7BD3DF3A"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w:t>
            </w:r>
          </w:p>
        </w:tc>
        <w:tc>
          <w:tcPr>
            <w:tcW w:w="1584" w:type="dxa"/>
          </w:tcPr>
          <w:p w14:paraId="0A279C00"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w:t>
            </w:r>
          </w:p>
        </w:tc>
        <w:tc>
          <w:tcPr>
            <w:tcW w:w="1584" w:type="dxa"/>
          </w:tcPr>
          <w:p w14:paraId="2C985D14"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w:t>
            </w:r>
          </w:p>
        </w:tc>
      </w:tr>
      <w:tr w:rsidR="002E458C" w14:paraId="475DC66B" w14:textId="77777777" w:rsidTr="009E1926">
        <w:trPr>
          <w:jc w:val="center"/>
        </w:trPr>
        <w:tc>
          <w:tcPr>
            <w:tcW w:w="4251" w:type="dxa"/>
            <w:hideMark/>
          </w:tcPr>
          <w:p w14:paraId="2D2D592A"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Constant</w:t>
            </w:r>
          </w:p>
        </w:tc>
        <w:tc>
          <w:tcPr>
            <w:tcW w:w="1584" w:type="dxa"/>
          </w:tcPr>
          <w:p w14:paraId="3FC26292"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584" w:type="dxa"/>
          </w:tcPr>
          <w:p w14:paraId="1F4C4B5D"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w:t>
            </w:r>
          </w:p>
        </w:tc>
        <w:tc>
          <w:tcPr>
            <w:tcW w:w="1584" w:type="dxa"/>
          </w:tcPr>
          <w:p w14:paraId="4CF3FDD6"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-0.100***</w:t>
            </w:r>
          </w:p>
        </w:tc>
      </w:tr>
      <w:tr w:rsidR="002E458C" w14:paraId="361DC9A1" w14:textId="77777777" w:rsidTr="009E1926">
        <w:trPr>
          <w:jc w:val="center"/>
        </w:trPr>
        <w:tc>
          <w:tcPr>
            <w:tcW w:w="4251" w:type="dxa"/>
          </w:tcPr>
          <w:p w14:paraId="7391E23E"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3EA14987"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584" w:type="dxa"/>
          </w:tcPr>
          <w:p w14:paraId="4C8E9430"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584" w:type="dxa"/>
          </w:tcPr>
          <w:p w14:paraId="14D7CE9B" w14:textId="77777777" w:rsidR="002E458C" w:rsidRDefault="002E458C" w:rsidP="002E458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r>
      <w:tr w:rsidR="002E458C" w14:paraId="7D7834DC" w14:textId="77777777" w:rsidTr="0078010B">
        <w:trPr>
          <w:jc w:val="center"/>
        </w:trPr>
        <w:tc>
          <w:tcPr>
            <w:tcW w:w="4251" w:type="dxa"/>
          </w:tcPr>
          <w:p w14:paraId="2FCCFD9B"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p>
        </w:tc>
        <w:tc>
          <w:tcPr>
            <w:tcW w:w="1584" w:type="dxa"/>
          </w:tcPr>
          <w:p w14:paraId="6629EE29" w14:textId="77777777" w:rsidR="002E458C" w:rsidRDefault="002E458C" w:rsidP="002E458C">
            <w:pPr>
              <w:widowControl w:val="0"/>
              <w:autoSpaceDE w:val="0"/>
              <w:autoSpaceDN w:val="0"/>
              <w:adjustRightInd w:val="0"/>
              <w:spacing w:after="0" w:line="276" w:lineRule="auto"/>
              <w:jc w:val="center"/>
              <w:rPr>
                <w:rFonts w:ascii="Times New Roman" w:hAnsi="Times New Roman" w:cs="Times New Roman"/>
                <w:sz w:val="24"/>
                <w:szCs w:val="24"/>
              </w:rPr>
            </w:pPr>
          </w:p>
        </w:tc>
        <w:tc>
          <w:tcPr>
            <w:tcW w:w="1584" w:type="dxa"/>
          </w:tcPr>
          <w:p w14:paraId="71A28657" w14:textId="77777777" w:rsidR="002E458C" w:rsidRDefault="002E458C" w:rsidP="002E458C">
            <w:pPr>
              <w:widowControl w:val="0"/>
              <w:autoSpaceDE w:val="0"/>
              <w:autoSpaceDN w:val="0"/>
              <w:adjustRightInd w:val="0"/>
              <w:spacing w:after="0" w:line="276" w:lineRule="auto"/>
              <w:jc w:val="center"/>
              <w:rPr>
                <w:rFonts w:ascii="Times New Roman" w:hAnsi="Times New Roman" w:cs="Times New Roman"/>
                <w:sz w:val="24"/>
                <w:szCs w:val="24"/>
              </w:rPr>
            </w:pPr>
          </w:p>
        </w:tc>
        <w:tc>
          <w:tcPr>
            <w:tcW w:w="1584" w:type="dxa"/>
          </w:tcPr>
          <w:p w14:paraId="0308A395" w14:textId="77777777" w:rsidR="002E458C" w:rsidRDefault="002E458C" w:rsidP="002E458C">
            <w:pPr>
              <w:widowControl w:val="0"/>
              <w:autoSpaceDE w:val="0"/>
              <w:autoSpaceDN w:val="0"/>
              <w:adjustRightInd w:val="0"/>
              <w:spacing w:after="0" w:line="276" w:lineRule="auto"/>
              <w:jc w:val="center"/>
              <w:rPr>
                <w:rFonts w:ascii="Times New Roman" w:hAnsi="Times New Roman" w:cs="Times New Roman"/>
                <w:sz w:val="24"/>
                <w:szCs w:val="24"/>
              </w:rPr>
            </w:pPr>
          </w:p>
        </w:tc>
      </w:tr>
      <w:tr w:rsidR="002E458C" w14:paraId="6FE44330" w14:textId="77777777" w:rsidTr="009E1926">
        <w:trPr>
          <w:jc w:val="center"/>
        </w:trPr>
        <w:tc>
          <w:tcPr>
            <w:tcW w:w="4251" w:type="dxa"/>
            <w:hideMark/>
          </w:tcPr>
          <w:p w14:paraId="0790E2CD" w14:textId="77777777" w:rsidR="002E458C" w:rsidRDefault="002E458C" w:rsidP="002E458C">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Household fixed effects</w:t>
            </w:r>
          </w:p>
        </w:tc>
        <w:tc>
          <w:tcPr>
            <w:tcW w:w="1584" w:type="dxa"/>
          </w:tcPr>
          <w:p w14:paraId="5C5974DD" w14:textId="77777777" w:rsidR="002E458C" w:rsidRDefault="00934019" w:rsidP="002E458C">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Pr>
          <w:p w14:paraId="6EE52A6F" w14:textId="77777777" w:rsidR="002E458C" w:rsidRDefault="00934019" w:rsidP="002E458C">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Pr>
          <w:p w14:paraId="6899D098" w14:textId="77777777" w:rsidR="002E458C" w:rsidRDefault="00934019" w:rsidP="002E458C">
            <w:pPr>
              <w:widowControl w:val="0"/>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934019" w14:paraId="1F81A341" w14:textId="77777777" w:rsidTr="009E1926">
        <w:trPr>
          <w:jc w:val="center"/>
        </w:trPr>
        <w:tc>
          <w:tcPr>
            <w:tcW w:w="4251" w:type="dxa"/>
            <w:hideMark/>
          </w:tcPr>
          <w:p w14:paraId="22F27ED4" w14:textId="77777777" w:rsidR="00934019" w:rsidRPr="003F3A33" w:rsidRDefault="00934019" w:rsidP="00934019">
            <w:pPr>
              <w:widowControl w:val="0"/>
              <w:autoSpaceDE w:val="0"/>
              <w:autoSpaceDN w:val="0"/>
              <w:adjustRightInd w:val="0"/>
              <w:spacing w:after="0" w:line="276" w:lineRule="auto"/>
              <w:jc w:val="both"/>
              <w:rPr>
                <w:rFonts w:ascii="Times New Roman" w:hAnsi="Times New Roman" w:cs="Times New Roman"/>
                <w:sz w:val="24"/>
                <w:szCs w:val="24"/>
              </w:rPr>
            </w:pPr>
            <w:r w:rsidRPr="003F3A33">
              <w:rPr>
                <w:rFonts w:ascii="Times New Roman" w:hAnsi="Times New Roman" w:cs="Times New Roman"/>
                <w:sz w:val="24"/>
                <w:szCs w:val="24"/>
              </w:rPr>
              <w:t>Observations</w:t>
            </w:r>
          </w:p>
        </w:tc>
        <w:tc>
          <w:tcPr>
            <w:tcW w:w="1584" w:type="dxa"/>
          </w:tcPr>
          <w:p w14:paraId="4BF83E31" w14:textId="77777777" w:rsidR="00934019" w:rsidRDefault="00934019" w:rsidP="009340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6,110</w:t>
            </w:r>
          </w:p>
        </w:tc>
        <w:tc>
          <w:tcPr>
            <w:tcW w:w="1584" w:type="dxa"/>
          </w:tcPr>
          <w:p w14:paraId="0D76B9F7" w14:textId="77777777" w:rsidR="00934019" w:rsidRDefault="00934019" w:rsidP="009340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4,130</w:t>
            </w:r>
          </w:p>
        </w:tc>
        <w:tc>
          <w:tcPr>
            <w:tcW w:w="1584" w:type="dxa"/>
          </w:tcPr>
          <w:p w14:paraId="1EC8FC3E" w14:textId="77777777" w:rsidR="00934019" w:rsidRDefault="00934019" w:rsidP="009340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1,980</w:t>
            </w:r>
          </w:p>
        </w:tc>
      </w:tr>
      <w:tr w:rsidR="00934019" w14:paraId="443ECA7A" w14:textId="77777777" w:rsidTr="009E1926">
        <w:trPr>
          <w:jc w:val="center"/>
        </w:trPr>
        <w:tc>
          <w:tcPr>
            <w:tcW w:w="4251" w:type="dxa"/>
          </w:tcPr>
          <w:p w14:paraId="4B60A817" w14:textId="77777777" w:rsidR="00934019" w:rsidRPr="003F3A33" w:rsidRDefault="00934019" w:rsidP="00934019">
            <w:pPr>
              <w:widowControl w:val="0"/>
              <w:autoSpaceDE w:val="0"/>
              <w:autoSpaceDN w:val="0"/>
              <w:adjustRightInd w:val="0"/>
              <w:spacing w:after="0" w:line="276" w:lineRule="auto"/>
              <w:jc w:val="both"/>
              <w:rPr>
                <w:rFonts w:ascii="Times New Roman" w:hAnsi="Times New Roman" w:cs="Times New Roman"/>
                <w:sz w:val="24"/>
                <w:szCs w:val="24"/>
              </w:rPr>
            </w:pPr>
            <w:r w:rsidRPr="003F3A33">
              <w:rPr>
                <w:rFonts w:ascii="Times New Roman" w:hAnsi="Times New Roman" w:cs="Times New Roman"/>
                <w:sz w:val="24"/>
                <w:szCs w:val="24"/>
              </w:rPr>
              <w:t>No. of households</w:t>
            </w:r>
          </w:p>
        </w:tc>
        <w:tc>
          <w:tcPr>
            <w:tcW w:w="1584" w:type="dxa"/>
          </w:tcPr>
          <w:p w14:paraId="561D4C07" w14:textId="77777777" w:rsidR="00934019" w:rsidRDefault="00934019" w:rsidP="009340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3,055</w:t>
            </w:r>
          </w:p>
        </w:tc>
        <w:tc>
          <w:tcPr>
            <w:tcW w:w="1584" w:type="dxa"/>
          </w:tcPr>
          <w:p w14:paraId="3CFA81EF" w14:textId="77777777" w:rsidR="00934019" w:rsidRDefault="00934019" w:rsidP="009340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2,065</w:t>
            </w:r>
          </w:p>
        </w:tc>
        <w:tc>
          <w:tcPr>
            <w:tcW w:w="1584" w:type="dxa"/>
          </w:tcPr>
          <w:p w14:paraId="71577C0C" w14:textId="77777777" w:rsidR="00934019" w:rsidRDefault="00934019" w:rsidP="0093401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990</w:t>
            </w:r>
          </w:p>
        </w:tc>
      </w:tr>
      <w:tr w:rsidR="00934019" w14:paraId="4FFBE746" w14:textId="77777777" w:rsidTr="0078010B">
        <w:trPr>
          <w:trHeight w:val="404"/>
          <w:jc w:val="center"/>
        </w:trPr>
        <w:tc>
          <w:tcPr>
            <w:tcW w:w="4251" w:type="dxa"/>
            <w:tcBorders>
              <w:top w:val="nil"/>
              <w:left w:val="nil"/>
              <w:bottom w:val="single" w:sz="6" w:space="0" w:color="auto"/>
              <w:right w:val="nil"/>
            </w:tcBorders>
            <w:hideMark/>
          </w:tcPr>
          <w:p w14:paraId="37EA7660" w14:textId="77777777" w:rsidR="00934019" w:rsidRDefault="00934019" w:rsidP="00934019">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R-squared</w:t>
            </w:r>
          </w:p>
        </w:tc>
        <w:tc>
          <w:tcPr>
            <w:tcW w:w="1584" w:type="dxa"/>
            <w:tcBorders>
              <w:top w:val="nil"/>
              <w:left w:val="nil"/>
              <w:bottom w:val="single" w:sz="6" w:space="0" w:color="auto"/>
              <w:right w:val="nil"/>
            </w:tcBorders>
          </w:tcPr>
          <w:p w14:paraId="38CC025D" w14:textId="77777777" w:rsidR="00934019" w:rsidRDefault="00832230" w:rsidP="00934019">
            <w:pPr>
              <w:widowControl w:val="0"/>
              <w:autoSpaceDE w:val="0"/>
              <w:autoSpaceDN w:val="0"/>
              <w:adjustRightInd w:val="0"/>
              <w:spacing w:after="0" w:line="276" w:lineRule="auto"/>
              <w:jc w:val="center"/>
              <w:rPr>
                <w:rFonts w:ascii="Times New Roman" w:hAnsi="Times New Roman" w:cs="Times New Roman"/>
                <w:sz w:val="24"/>
                <w:szCs w:val="24"/>
              </w:rPr>
            </w:pPr>
            <w:r w:rsidRPr="00832230">
              <w:rPr>
                <w:rFonts w:ascii="Times New Roman" w:hAnsi="Times New Roman" w:cs="Times New Roman"/>
                <w:sz w:val="24"/>
                <w:szCs w:val="24"/>
              </w:rPr>
              <w:t>0.047</w:t>
            </w:r>
          </w:p>
        </w:tc>
        <w:tc>
          <w:tcPr>
            <w:tcW w:w="1584" w:type="dxa"/>
            <w:tcBorders>
              <w:top w:val="nil"/>
              <w:left w:val="nil"/>
              <w:bottom w:val="single" w:sz="6" w:space="0" w:color="auto"/>
              <w:right w:val="nil"/>
            </w:tcBorders>
          </w:tcPr>
          <w:p w14:paraId="05837A30" w14:textId="77777777" w:rsidR="00934019" w:rsidRDefault="00832230" w:rsidP="00934019">
            <w:pPr>
              <w:widowControl w:val="0"/>
              <w:autoSpaceDE w:val="0"/>
              <w:autoSpaceDN w:val="0"/>
              <w:adjustRightInd w:val="0"/>
              <w:spacing w:after="0" w:line="276" w:lineRule="auto"/>
              <w:jc w:val="center"/>
              <w:rPr>
                <w:rFonts w:ascii="Times New Roman" w:hAnsi="Times New Roman" w:cs="Times New Roman"/>
                <w:sz w:val="24"/>
                <w:szCs w:val="24"/>
              </w:rPr>
            </w:pPr>
            <w:r w:rsidRPr="00832230">
              <w:rPr>
                <w:rFonts w:ascii="Times New Roman" w:hAnsi="Times New Roman" w:cs="Times New Roman"/>
                <w:sz w:val="24"/>
                <w:szCs w:val="24"/>
              </w:rPr>
              <w:t>0.0</w:t>
            </w:r>
            <w:r>
              <w:rPr>
                <w:rFonts w:ascii="Times New Roman" w:hAnsi="Times New Roman" w:cs="Times New Roman"/>
                <w:sz w:val="24"/>
                <w:szCs w:val="24"/>
              </w:rPr>
              <w:t>40</w:t>
            </w:r>
          </w:p>
        </w:tc>
        <w:tc>
          <w:tcPr>
            <w:tcW w:w="1584" w:type="dxa"/>
            <w:tcBorders>
              <w:top w:val="nil"/>
              <w:left w:val="nil"/>
              <w:bottom w:val="single" w:sz="6" w:space="0" w:color="auto"/>
              <w:right w:val="nil"/>
            </w:tcBorders>
          </w:tcPr>
          <w:p w14:paraId="1FF33318" w14:textId="77777777" w:rsidR="00934019" w:rsidRDefault="00832230" w:rsidP="00934019">
            <w:pPr>
              <w:widowControl w:val="0"/>
              <w:autoSpaceDE w:val="0"/>
              <w:autoSpaceDN w:val="0"/>
              <w:adjustRightInd w:val="0"/>
              <w:spacing w:after="0" w:line="276" w:lineRule="auto"/>
              <w:jc w:val="center"/>
              <w:rPr>
                <w:rFonts w:ascii="Times New Roman" w:hAnsi="Times New Roman" w:cs="Times New Roman"/>
                <w:sz w:val="24"/>
                <w:szCs w:val="24"/>
              </w:rPr>
            </w:pPr>
            <w:r w:rsidRPr="00832230">
              <w:rPr>
                <w:rFonts w:ascii="Times New Roman" w:hAnsi="Times New Roman" w:cs="Times New Roman"/>
                <w:sz w:val="24"/>
                <w:szCs w:val="24"/>
              </w:rPr>
              <w:t>0.077</w:t>
            </w:r>
          </w:p>
        </w:tc>
      </w:tr>
    </w:tbl>
    <w:p w14:paraId="0DE4542E" w14:textId="77777777" w:rsidR="009C3558" w:rsidRDefault="009C3558" w:rsidP="009C3558">
      <w:pPr>
        <w:spacing w:after="0" w:line="276" w:lineRule="auto"/>
        <w:jc w:val="center"/>
        <w:rPr>
          <w:rFonts w:ascii="Times New Roman" w:hAnsi="Times New Roman" w:cs="Times New Roman"/>
        </w:rPr>
      </w:pPr>
      <w:r>
        <w:rPr>
          <w:rFonts w:ascii="Times New Roman" w:hAnsi="Times New Roman" w:cs="Times New Roman"/>
        </w:rPr>
        <w:t>Note: Standard errors are clustered at primary sampling unit and are shown in parentheses.</w:t>
      </w:r>
    </w:p>
    <w:p w14:paraId="0B7E23D5" w14:textId="77777777" w:rsidR="009C3558" w:rsidRDefault="009C3558" w:rsidP="009C3558">
      <w:pPr>
        <w:spacing w:line="276" w:lineRule="auto"/>
        <w:jc w:val="center"/>
      </w:pPr>
      <w:r>
        <w:rPr>
          <w:rFonts w:ascii="Times New Roman" w:hAnsi="Times New Roman" w:cs="Times New Roman"/>
        </w:rPr>
        <w:t>*** p&lt;0.01, ** p&lt;0.05, * p&lt;0.1</w:t>
      </w:r>
    </w:p>
    <w:p w14:paraId="013161EC" w14:textId="77777777" w:rsidR="009C3558" w:rsidRPr="00CB7280" w:rsidRDefault="009C3558" w:rsidP="00CB7280">
      <w:pPr>
        <w:spacing w:line="276" w:lineRule="auto"/>
        <w:rPr>
          <w:rFonts w:ascii="Times New Roman" w:hAnsi="Times New Roman" w:cs="Times New Roman"/>
          <w:b/>
          <w:iCs/>
          <w:sz w:val="24"/>
          <w:szCs w:val="18"/>
        </w:rPr>
      </w:pPr>
      <w:r>
        <w:rPr>
          <w:rFonts w:ascii="Times New Roman" w:hAnsi="Times New Roman" w:cs="Times New Roman"/>
          <w:b/>
          <w:i/>
          <w:sz w:val="24"/>
        </w:rPr>
        <w:br w:type="page"/>
      </w:r>
    </w:p>
    <w:p w14:paraId="5E864F68" w14:textId="77777777" w:rsidR="009C3558" w:rsidRDefault="009C3558" w:rsidP="009C3558">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Conclusions</w:t>
      </w:r>
    </w:p>
    <w:p w14:paraId="61A13D38" w14:textId="30FA0964" w:rsidR="00B95526"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 studies the role of intrahousehold status in explaining the</w:t>
      </w:r>
      <w:r w:rsidR="00EC534A">
        <w:rPr>
          <w:rFonts w:ascii="Times New Roman" w:hAnsi="Times New Roman" w:cs="Times New Roman"/>
          <w:sz w:val="24"/>
          <w:szCs w:val="24"/>
        </w:rPr>
        <w:t xml:space="preserve"> </w:t>
      </w:r>
      <w:r w:rsidR="00B95526">
        <w:rPr>
          <w:rFonts w:ascii="Times New Roman" w:hAnsi="Times New Roman" w:cs="Times New Roman"/>
          <w:sz w:val="24"/>
          <w:szCs w:val="24"/>
        </w:rPr>
        <w:t xml:space="preserve">high </w:t>
      </w:r>
      <w:r w:rsidR="00C14B39">
        <w:rPr>
          <w:rFonts w:ascii="Times New Roman" w:hAnsi="Times New Roman" w:cs="Times New Roman"/>
          <w:sz w:val="24"/>
          <w:szCs w:val="24"/>
        </w:rPr>
        <w:t xml:space="preserve">prevalence </w:t>
      </w:r>
      <w:r w:rsidR="00986378">
        <w:rPr>
          <w:rFonts w:ascii="Times New Roman" w:hAnsi="Times New Roman" w:cs="Times New Roman"/>
          <w:sz w:val="24"/>
          <w:szCs w:val="24"/>
        </w:rPr>
        <w:t xml:space="preserve">of </w:t>
      </w:r>
      <w:r>
        <w:rPr>
          <w:rFonts w:ascii="Times New Roman" w:hAnsi="Times New Roman" w:cs="Times New Roman"/>
          <w:sz w:val="24"/>
          <w:szCs w:val="24"/>
        </w:rPr>
        <w:t xml:space="preserve">overweight and obesity among women in India. We use exogeneous measures of intrahousehold status to causally estimate </w:t>
      </w:r>
      <w:r w:rsidR="00E337C5">
        <w:rPr>
          <w:rFonts w:ascii="Times New Roman" w:hAnsi="Times New Roman" w:cs="Times New Roman"/>
          <w:sz w:val="24"/>
          <w:szCs w:val="24"/>
        </w:rPr>
        <w:t xml:space="preserve">its </w:t>
      </w:r>
      <w:r>
        <w:rPr>
          <w:rFonts w:ascii="Times New Roman" w:hAnsi="Times New Roman" w:cs="Times New Roman"/>
          <w:sz w:val="24"/>
          <w:szCs w:val="24"/>
        </w:rPr>
        <w:t>relationship</w:t>
      </w:r>
      <w:r w:rsidR="004A4730">
        <w:rPr>
          <w:rFonts w:ascii="Times New Roman" w:hAnsi="Times New Roman" w:cs="Times New Roman"/>
          <w:sz w:val="24"/>
          <w:szCs w:val="24"/>
        </w:rPr>
        <w:t xml:space="preserve"> </w:t>
      </w:r>
      <w:r w:rsidR="00E337C5">
        <w:rPr>
          <w:rFonts w:ascii="Times New Roman" w:hAnsi="Times New Roman" w:cs="Times New Roman"/>
          <w:sz w:val="24"/>
          <w:szCs w:val="24"/>
        </w:rPr>
        <w:t>with</w:t>
      </w:r>
      <w:r w:rsidR="004A4730">
        <w:rPr>
          <w:rFonts w:ascii="Times New Roman" w:hAnsi="Times New Roman" w:cs="Times New Roman"/>
          <w:sz w:val="24"/>
          <w:szCs w:val="24"/>
        </w:rPr>
        <w:t xml:space="preserve"> BMI</w:t>
      </w:r>
      <w:r w:rsidR="006F75BB">
        <w:rPr>
          <w:rFonts w:ascii="Times New Roman" w:hAnsi="Times New Roman" w:cs="Times New Roman"/>
          <w:sz w:val="24"/>
          <w:szCs w:val="24"/>
        </w:rPr>
        <w:t>, finding that h</w:t>
      </w:r>
      <w:r>
        <w:rPr>
          <w:rFonts w:ascii="Times New Roman" w:hAnsi="Times New Roman" w:cs="Times New Roman"/>
          <w:sz w:val="24"/>
          <w:szCs w:val="24"/>
        </w:rPr>
        <w:t>igher intrahousehold status</w:t>
      </w:r>
      <w:r w:rsidR="00D14295">
        <w:rPr>
          <w:rFonts w:ascii="Times New Roman" w:hAnsi="Times New Roman" w:cs="Times New Roman"/>
          <w:sz w:val="24"/>
          <w:szCs w:val="24"/>
        </w:rPr>
        <w:t xml:space="preserve"> leads to an increase in</w:t>
      </w:r>
      <w:r>
        <w:rPr>
          <w:rFonts w:ascii="Times New Roman" w:hAnsi="Times New Roman" w:cs="Times New Roman"/>
          <w:sz w:val="24"/>
          <w:szCs w:val="24"/>
        </w:rPr>
        <w:t xml:space="preserve"> BMI. </w:t>
      </w:r>
    </w:p>
    <w:p w14:paraId="01B67CFE" w14:textId="7D9F6913" w:rsidR="00521488" w:rsidRDefault="00E93549"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Using</w:t>
      </w:r>
      <w:r w:rsidR="00A66DA7">
        <w:rPr>
          <w:rFonts w:ascii="Times New Roman" w:hAnsi="Times New Roman" w:cs="Times New Roman"/>
          <w:sz w:val="24"/>
          <w:szCs w:val="24"/>
        </w:rPr>
        <w:t xml:space="preserve"> </w:t>
      </w:r>
      <w:r w:rsidR="00060A6B">
        <w:rPr>
          <w:rFonts w:ascii="Times New Roman" w:hAnsi="Times New Roman" w:cs="Times New Roman"/>
          <w:sz w:val="24"/>
          <w:szCs w:val="24"/>
        </w:rPr>
        <w:t xml:space="preserve">quantile </w:t>
      </w:r>
      <w:r w:rsidR="009C3558">
        <w:rPr>
          <w:rFonts w:ascii="Times New Roman" w:hAnsi="Times New Roman" w:cs="Times New Roman"/>
          <w:sz w:val="24"/>
          <w:szCs w:val="24"/>
        </w:rPr>
        <w:t xml:space="preserve">regression, we show that women whose first child is male </w:t>
      </w:r>
      <w:r w:rsidR="00B41389">
        <w:rPr>
          <w:rFonts w:ascii="Times New Roman" w:hAnsi="Times New Roman" w:cs="Times New Roman"/>
          <w:sz w:val="24"/>
          <w:szCs w:val="24"/>
        </w:rPr>
        <w:t>have</w:t>
      </w:r>
      <w:r w:rsidR="009C3558">
        <w:rPr>
          <w:rFonts w:ascii="Times New Roman" w:hAnsi="Times New Roman" w:cs="Times New Roman"/>
          <w:sz w:val="24"/>
          <w:szCs w:val="24"/>
        </w:rPr>
        <w:t xml:space="preserve"> higher BMI</w:t>
      </w:r>
      <w:r w:rsidR="00B41389">
        <w:rPr>
          <w:rFonts w:ascii="Times New Roman" w:hAnsi="Times New Roman" w:cs="Times New Roman"/>
          <w:sz w:val="24"/>
          <w:szCs w:val="24"/>
        </w:rPr>
        <w:t>s</w:t>
      </w:r>
      <w:r w:rsidR="009C3558">
        <w:rPr>
          <w:rFonts w:ascii="Times New Roman" w:hAnsi="Times New Roman" w:cs="Times New Roman"/>
          <w:sz w:val="24"/>
          <w:szCs w:val="24"/>
        </w:rPr>
        <w:t xml:space="preserve"> than women whose first child is female. The relationship is positive and statistically significant across all BMI percentiles. </w:t>
      </w:r>
      <w:r w:rsidR="009C3558" w:rsidRPr="00CB235A">
        <w:rPr>
          <w:rFonts w:ascii="Times New Roman" w:hAnsi="Times New Roman" w:cs="Times New Roman"/>
          <w:sz w:val="24"/>
          <w:szCs w:val="24"/>
        </w:rPr>
        <w:t>Thus,</w:t>
      </w:r>
      <w:r w:rsidR="00CB235A">
        <w:rPr>
          <w:rFonts w:ascii="Times New Roman" w:hAnsi="Times New Roman" w:cs="Times New Roman"/>
          <w:sz w:val="24"/>
          <w:szCs w:val="24"/>
        </w:rPr>
        <w:t xml:space="preserve"> an increase in status increases BMI for</w:t>
      </w:r>
      <w:r w:rsidR="009C3558" w:rsidRPr="00CB235A">
        <w:rPr>
          <w:rFonts w:ascii="Times New Roman" w:hAnsi="Times New Roman" w:cs="Times New Roman"/>
          <w:sz w:val="24"/>
          <w:szCs w:val="24"/>
        </w:rPr>
        <w:t xml:space="preserve"> women across all BMI percentiles, from those who are thin and normal weight, to those who are overweight</w:t>
      </w:r>
      <w:r w:rsidR="00CB235A">
        <w:rPr>
          <w:rFonts w:ascii="Times New Roman" w:hAnsi="Times New Roman" w:cs="Times New Roman"/>
          <w:sz w:val="24"/>
          <w:szCs w:val="24"/>
        </w:rPr>
        <w:t xml:space="preserve"> or obese.</w:t>
      </w:r>
      <w:r w:rsidR="009C3558">
        <w:rPr>
          <w:rFonts w:ascii="Times New Roman" w:hAnsi="Times New Roman" w:cs="Times New Roman"/>
          <w:sz w:val="24"/>
          <w:szCs w:val="24"/>
        </w:rPr>
        <w:t xml:space="preserve"> </w:t>
      </w:r>
    </w:p>
    <w:p w14:paraId="50E5C21D" w14:textId="678EFC9B" w:rsidR="00B34872" w:rsidRDefault="0052148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B36A30">
        <w:rPr>
          <w:rFonts w:ascii="Times New Roman" w:hAnsi="Times New Roman" w:cs="Times New Roman"/>
          <w:sz w:val="24"/>
          <w:szCs w:val="24"/>
        </w:rPr>
        <w:t>e</w:t>
      </w:r>
      <w:r>
        <w:rPr>
          <w:rFonts w:ascii="Times New Roman" w:hAnsi="Times New Roman" w:cs="Times New Roman"/>
          <w:sz w:val="24"/>
          <w:szCs w:val="24"/>
        </w:rPr>
        <w:t xml:space="preserve"> also</w:t>
      </w:r>
      <w:r w:rsidR="00B36A30">
        <w:rPr>
          <w:rFonts w:ascii="Times New Roman" w:hAnsi="Times New Roman" w:cs="Times New Roman"/>
          <w:sz w:val="24"/>
          <w:szCs w:val="24"/>
        </w:rPr>
        <w:t xml:space="preserve"> control for education and occupation </w:t>
      </w:r>
      <w:r>
        <w:rPr>
          <w:rFonts w:ascii="Times New Roman" w:hAnsi="Times New Roman" w:cs="Times New Roman"/>
          <w:sz w:val="24"/>
          <w:szCs w:val="24"/>
        </w:rPr>
        <w:t xml:space="preserve">in our regressions, </w:t>
      </w:r>
      <w:r w:rsidR="00B36A30">
        <w:rPr>
          <w:rFonts w:ascii="Times New Roman" w:hAnsi="Times New Roman" w:cs="Times New Roman"/>
          <w:sz w:val="24"/>
          <w:szCs w:val="24"/>
        </w:rPr>
        <w:t>as these are</w:t>
      </w:r>
      <w:r w:rsidR="00C13DC7">
        <w:rPr>
          <w:rFonts w:ascii="Times New Roman" w:hAnsi="Times New Roman" w:cs="Times New Roman"/>
          <w:sz w:val="24"/>
          <w:szCs w:val="24"/>
        </w:rPr>
        <w:t xml:space="preserve"> </w:t>
      </w:r>
      <w:r w:rsidR="00B36A30">
        <w:rPr>
          <w:rFonts w:ascii="Times New Roman" w:hAnsi="Times New Roman" w:cs="Times New Roman"/>
          <w:sz w:val="24"/>
          <w:szCs w:val="24"/>
        </w:rPr>
        <w:t xml:space="preserve">related to </w:t>
      </w:r>
      <w:r w:rsidR="009F4544">
        <w:rPr>
          <w:rFonts w:ascii="Times New Roman" w:hAnsi="Times New Roman" w:cs="Times New Roman"/>
          <w:sz w:val="24"/>
          <w:szCs w:val="24"/>
        </w:rPr>
        <w:t xml:space="preserve">both </w:t>
      </w:r>
      <w:r w:rsidR="00B36A30">
        <w:rPr>
          <w:rFonts w:ascii="Times New Roman" w:hAnsi="Times New Roman" w:cs="Times New Roman"/>
          <w:sz w:val="24"/>
          <w:szCs w:val="24"/>
        </w:rPr>
        <w:t xml:space="preserve">intrahousehold status </w:t>
      </w:r>
      <w:r w:rsidR="000A1474">
        <w:rPr>
          <w:rFonts w:ascii="Times New Roman" w:hAnsi="Times New Roman" w:cs="Times New Roman"/>
          <w:sz w:val="24"/>
          <w:szCs w:val="24"/>
        </w:rPr>
        <w:t>and</w:t>
      </w:r>
      <w:r w:rsidR="006A544D">
        <w:rPr>
          <w:rFonts w:ascii="Times New Roman" w:hAnsi="Times New Roman" w:cs="Times New Roman"/>
          <w:sz w:val="24"/>
          <w:szCs w:val="24"/>
        </w:rPr>
        <w:t xml:space="preserve"> </w:t>
      </w:r>
      <w:r w:rsidR="00B36A30">
        <w:rPr>
          <w:rFonts w:ascii="Times New Roman" w:hAnsi="Times New Roman" w:cs="Times New Roman"/>
          <w:sz w:val="24"/>
          <w:szCs w:val="24"/>
        </w:rPr>
        <w:t xml:space="preserve">BMI. </w:t>
      </w:r>
      <w:r w:rsidR="009C3558">
        <w:rPr>
          <w:rFonts w:ascii="Times New Roman" w:hAnsi="Times New Roman" w:cs="Times New Roman"/>
          <w:sz w:val="24"/>
          <w:szCs w:val="24"/>
        </w:rPr>
        <w:t>Women who are more educated are more likely to be overweight/obese</w:t>
      </w:r>
      <w:r w:rsidR="006333B1">
        <w:rPr>
          <w:rFonts w:ascii="Times New Roman" w:hAnsi="Times New Roman" w:cs="Times New Roman"/>
          <w:sz w:val="24"/>
          <w:szCs w:val="24"/>
        </w:rPr>
        <w:t>.</w:t>
      </w:r>
      <w:r>
        <w:rPr>
          <w:rFonts w:ascii="Times New Roman" w:hAnsi="Times New Roman" w:cs="Times New Roman"/>
          <w:sz w:val="24"/>
          <w:szCs w:val="24"/>
        </w:rPr>
        <w:t xml:space="preserve"> </w:t>
      </w:r>
      <w:r w:rsidR="006333B1">
        <w:rPr>
          <w:rFonts w:ascii="Times New Roman" w:hAnsi="Times New Roman" w:cs="Times New Roman"/>
          <w:sz w:val="24"/>
          <w:szCs w:val="24"/>
        </w:rPr>
        <w:t>Wo</w:t>
      </w:r>
      <w:r w:rsidR="009C3558">
        <w:rPr>
          <w:rFonts w:ascii="Times New Roman" w:hAnsi="Times New Roman" w:cs="Times New Roman"/>
          <w:sz w:val="24"/>
          <w:szCs w:val="24"/>
        </w:rPr>
        <w:t xml:space="preserve">men who work in paid jobs in offices </w:t>
      </w:r>
      <w:r>
        <w:rPr>
          <w:rFonts w:ascii="Times New Roman" w:hAnsi="Times New Roman" w:cs="Times New Roman"/>
          <w:sz w:val="24"/>
          <w:szCs w:val="24"/>
        </w:rPr>
        <w:t>(</w:t>
      </w:r>
      <w:r w:rsidR="009C3558">
        <w:rPr>
          <w:rFonts w:ascii="Times New Roman" w:hAnsi="Times New Roman" w:cs="Times New Roman"/>
          <w:sz w:val="24"/>
          <w:szCs w:val="24"/>
        </w:rPr>
        <w:t xml:space="preserve">i.e., in professional, technical, managerial, </w:t>
      </w:r>
      <w:r w:rsidR="00AD0BEE">
        <w:rPr>
          <w:rFonts w:ascii="Times New Roman" w:hAnsi="Times New Roman" w:cs="Times New Roman"/>
          <w:sz w:val="24"/>
          <w:szCs w:val="24"/>
        </w:rPr>
        <w:t>clerical</w:t>
      </w:r>
      <w:r w:rsidR="00EE0FAC">
        <w:rPr>
          <w:rFonts w:ascii="Times New Roman" w:hAnsi="Times New Roman" w:cs="Times New Roman"/>
          <w:sz w:val="24"/>
          <w:szCs w:val="24"/>
        </w:rPr>
        <w:t>,</w:t>
      </w:r>
      <w:r w:rsidR="00AD0BEE">
        <w:rPr>
          <w:rFonts w:ascii="Times New Roman" w:hAnsi="Times New Roman" w:cs="Times New Roman"/>
          <w:sz w:val="24"/>
          <w:szCs w:val="24"/>
        </w:rPr>
        <w:t xml:space="preserve"> </w:t>
      </w:r>
      <w:r w:rsidR="009B6671">
        <w:rPr>
          <w:rFonts w:ascii="Times New Roman" w:hAnsi="Times New Roman" w:cs="Times New Roman"/>
          <w:sz w:val="24"/>
          <w:szCs w:val="24"/>
        </w:rPr>
        <w:t>or</w:t>
      </w:r>
      <w:r w:rsidR="009C3558">
        <w:rPr>
          <w:rFonts w:ascii="Times New Roman" w:hAnsi="Times New Roman" w:cs="Times New Roman"/>
          <w:sz w:val="24"/>
          <w:szCs w:val="24"/>
        </w:rPr>
        <w:t xml:space="preserve"> sales jobs</w:t>
      </w:r>
      <w:r>
        <w:rPr>
          <w:rFonts w:ascii="Times New Roman" w:hAnsi="Times New Roman" w:cs="Times New Roman"/>
          <w:sz w:val="24"/>
          <w:szCs w:val="24"/>
        </w:rPr>
        <w:t>)</w:t>
      </w:r>
      <w:r w:rsidR="009C3558">
        <w:rPr>
          <w:rFonts w:ascii="Times New Roman" w:hAnsi="Times New Roman" w:cs="Times New Roman"/>
          <w:sz w:val="24"/>
          <w:szCs w:val="24"/>
        </w:rPr>
        <w:t xml:space="preserve"> are more likely to be overweight/obese than women who work in agricultural and manual labour. They are also more likely to be overweight/obese than women who are not engaged in</w:t>
      </w:r>
      <w:r>
        <w:rPr>
          <w:rFonts w:ascii="Times New Roman" w:hAnsi="Times New Roman" w:cs="Times New Roman"/>
          <w:sz w:val="24"/>
          <w:szCs w:val="24"/>
        </w:rPr>
        <w:t xml:space="preserve"> any</w:t>
      </w:r>
      <w:r w:rsidR="009C3558">
        <w:rPr>
          <w:rFonts w:ascii="Times New Roman" w:hAnsi="Times New Roman" w:cs="Times New Roman"/>
          <w:sz w:val="24"/>
          <w:szCs w:val="24"/>
        </w:rPr>
        <w:t xml:space="preserve"> paid work</w:t>
      </w:r>
      <w:r w:rsidR="001E170C">
        <w:rPr>
          <w:rFonts w:ascii="Times New Roman" w:hAnsi="Times New Roman" w:cs="Times New Roman"/>
          <w:sz w:val="24"/>
          <w:szCs w:val="24"/>
        </w:rPr>
        <w:t xml:space="preserve">. </w:t>
      </w:r>
    </w:p>
    <w:p w14:paraId="1954A1F7" w14:textId="77777777" w:rsidR="001E170C" w:rsidRDefault="001E170C"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controlling for education and occupation </w:t>
      </w:r>
      <w:r w:rsidR="00C6748D">
        <w:rPr>
          <w:rFonts w:ascii="Times New Roman" w:hAnsi="Times New Roman" w:cs="Times New Roman"/>
          <w:sz w:val="24"/>
          <w:szCs w:val="24"/>
        </w:rPr>
        <w:t xml:space="preserve">in our percentile regressions </w:t>
      </w:r>
      <w:r>
        <w:rPr>
          <w:rFonts w:ascii="Times New Roman" w:hAnsi="Times New Roman" w:cs="Times New Roman"/>
          <w:sz w:val="24"/>
          <w:szCs w:val="24"/>
        </w:rPr>
        <w:t>does not diminish the effect of first child’s sex on BMI for women within the 30</w:t>
      </w:r>
      <w:r w:rsidRPr="001E170C">
        <w:rPr>
          <w:rFonts w:ascii="Times New Roman" w:hAnsi="Times New Roman" w:cs="Times New Roman"/>
          <w:sz w:val="24"/>
          <w:szCs w:val="24"/>
          <w:vertAlign w:val="superscript"/>
        </w:rPr>
        <w:t>th</w:t>
      </w:r>
      <w:r>
        <w:rPr>
          <w:rFonts w:ascii="Times New Roman" w:hAnsi="Times New Roman" w:cs="Times New Roman"/>
          <w:sz w:val="24"/>
          <w:szCs w:val="24"/>
        </w:rPr>
        <w:t xml:space="preserve"> to 70</w:t>
      </w:r>
      <w:r w:rsidRPr="001E170C">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BMI. </w:t>
      </w:r>
      <w:r w:rsidRPr="00E40471">
        <w:rPr>
          <w:rFonts w:ascii="Times New Roman" w:hAnsi="Times New Roman" w:cs="Times New Roman"/>
          <w:sz w:val="24"/>
          <w:szCs w:val="24"/>
        </w:rPr>
        <w:t xml:space="preserve">At the two bottom-most and two top-most </w:t>
      </w:r>
      <w:r w:rsidR="00C62D66" w:rsidRPr="00E40471">
        <w:rPr>
          <w:rFonts w:ascii="Times New Roman" w:hAnsi="Times New Roman" w:cs="Times New Roman"/>
          <w:sz w:val="24"/>
          <w:szCs w:val="24"/>
        </w:rPr>
        <w:t>percentiles</w:t>
      </w:r>
      <w:r w:rsidRPr="00E40471">
        <w:rPr>
          <w:rFonts w:ascii="Times New Roman" w:hAnsi="Times New Roman" w:cs="Times New Roman"/>
          <w:sz w:val="24"/>
          <w:szCs w:val="24"/>
        </w:rPr>
        <w:t xml:space="preserve">, education and occupation explain most of the variation in BMI, and the coefficient of </w:t>
      </w:r>
      <w:r w:rsidR="00C84D4B" w:rsidRPr="00E40471">
        <w:rPr>
          <w:rFonts w:ascii="Times New Roman" w:hAnsi="Times New Roman" w:cs="Times New Roman"/>
          <w:sz w:val="24"/>
          <w:szCs w:val="24"/>
        </w:rPr>
        <w:t xml:space="preserve">the effect of </w:t>
      </w:r>
      <w:r w:rsidRPr="00E40471">
        <w:rPr>
          <w:rFonts w:ascii="Times New Roman" w:hAnsi="Times New Roman" w:cs="Times New Roman"/>
          <w:sz w:val="24"/>
          <w:szCs w:val="24"/>
        </w:rPr>
        <w:t>first child’s sex is insignificant.</w:t>
      </w:r>
      <w:r w:rsidR="00127A1F">
        <w:rPr>
          <w:rFonts w:ascii="Times New Roman" w:hAnsi="Times New Roman" w:cs="Times New Roman"/>
          <w:sz w:val="24"/>
          <w:szCs w:val="24"/>
        </w:rPr>
        <w:t xml:space="preserve"> </w:t>
      </w:r>
    </w:p>
    <w:p w14:paraId="5ED63986" w14:textId="737DA624" w:rsidR="00554288" w:rsidRDefault="0055428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result is robust to an alternate exogeneous measure of intrahousehold status: daughter-in-law’s rank in patrilocal joint families. </w:t>
      </w:r>
      <w:r w:rsidR="00C14E78">
        <w:rPr>
          <w:rFonts w:ascii="Times New Roman" w:hAnsi="Times New Roman" w:cs="Times New Roman"/>
          <w:sz w:val="24"/>
          <w:szCs w:val="24"/>
        </w:rPr>
        <w:t>The h</w:t>
      </w:r>
      <w:r>
        <w:rPr>
          <w:rFonts w:ascii="Times New Roman" w:hAnsi="Times New Roman" w:cs="Times New Roman"/>
          <w:sz w:val="24"/>
          <w:szCs w:val="24"/>
        </w:rPr>
        <w:t xml:space="preserve">igher ranked </w:t>
      </w:r>
      <w:r w:rsidR="00C14E78">
        <w:rPr>
          <w:rFonts w:ascii="Times New Roman" w:hAnsi="Times New Roman" w:cs="Times New Roman"/>
          <w:sz w:val="24"/>
          <w:szCs w:val="24"/>
        </w:rPr>
        <w:t>daughter-in-law</w:t>
      </w:r>
      <w:r>
        <w:rPr>
          <w:rFonts w:ascii="Times New Roman" w:hAnsi="Times New Roman" w:cs="Times New Roman"/>
          <w:sz w:val="24"/>
          <w:szCs w:val="24"/>
        </w:rPr>
        <w:t xml:space="preserve"> ha</w:t>
      </w:r>
      <w:r w:rsidR="00C14E78">
        <w:rPr>
          <w:rFonts w:ascii="Times New Roman" w:hAnsi="Times New Roman" w:cs="Times New Roman"/>
          <w:sz w:val="24"/>
          <w:szCs w:val="24"/>
        </w:rPr>
        <w:t>s higher intrahousehold status and consequently higher BMI than the lower-ranked daughter-in-law.</w:t>
      </w:r>
    </w:p>
    <w:p w14:paraId="5B69BDBE" w14:textId="77777777" w:rsidR="009C3558" w:rsidRDefault="009C3558"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find evidence of two mechanisms via which status affects BMI in an obesogenic environment. First, higher status is associated with increased leisure consumption. Second, higher status is associated with a higher likelihood of eating out. </w:t>
      </w:r>
      <w:r>
        <w:rPr>
          <w:rFonts w:ascii="Times New Roman" w:hAnsi="Times New Roman" w:cs="Times New Roman"/>
          <w:iCs/>
          <w:sz w:val="24"/>
          <w:szCs w:val="24"/>
        </w:rPr>
        <w:t>Thus, improvement in women’s status does not necessarily lead to healthier lifestyle</w:t>
      </w:r>
      <w:r w:rsidR="001A2F1D">
        <w:rPr>
          <w:rFonts w:ascii="Times New Roman" w:hAnsi="Times New Roman" w:cs="Times New Roman"/>
          <w:iCs/>
          <w:sz w:val="24"/>
          <w:szCs w:val="24"/>
        </w:rPr>
        <w:t>s</w:t>
      </w:r>
      <w:r>
        <w:rPr>
          <w:rFonts w:ascii="Times New Roman" w:hAnsi="Times New Roman" w:cs="Times New Roman"/>
          <w:iCs/>
          <w:sz w:val="24"/>
          <w:szCs w:val="24"/>
        </w:rPr>
        <w:t xml:space="preserve"> or healthier dietary habits. </w:t>
      </w:r>
    </w:p>
    <w:p w14:paraId="3D15EF05" w14:textId="21AD28F8" w:rsidR="009E3478" w:rsidRDefault="000435C2" w:rsidP="009C35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would expect that improved status or greater say in decision-making would lead us to take actions that </w:t>
      </w:r>
      <w:r w:rsidR="0077615E">
        <w:rPr>
          <w:rFonts w:ascii="Times New Roman" w:hAnsi="Times New Roman" w:cs="Times New Roman"/>
          <w:sz w:val="24"/>
          <w:szCs w:val="24"/>
        </w:rPr>
        <w:t xml:space="preserve">are better for </w:t>
      </w:r>
      <w:r>
        <w:rPr>
          <w:rFonts w:ascii="Times New Roman" w:hAnsi="Times New Roman" w:cs="Times New Roman"/>
          <w:sz w:val="24"/>
          <w:szCs w:val="24"/>
        </w:rPr>
        <w:t>our</w:t>
      </w:r>
      <w:r w:rsidR="0077615E">
        <w:rPr>
          <w:rFonts w:ascii="Times New Roman" w:hAnsi="Times New Roman" w:cs="Times New Roman"/>
          <w:sz w:val="24"/>
          <w:szCs w:val="24"/>
        </w:rPr>
        <w:t xml:space="preserve"> health</w:t>
      </w:r>
      <w:r>
        <w:rPr>
          <w:rFonts w:ascii="Times New Roman" w:hAnsi="Times New Roman" w:cs="Times New Roman"/>
          <w:sz w:val="24"/>
          <w:szCs w:val="24"/>
        </w:rPr>
        <w:t xml:space="preserve"> and wellbeing</w:t>
      </w:r>
      <w:r w:rsidR="0077615E">
        <w:rPr>
          <w:rFonts w:ascii="Times New Roman" w:hAnsi="Times New Roman" w:cs="Times New Roman"/>
          <w:sz w:val="24"/>
          <w:szCs w:val="24"/>
        </w:rPr>
        <w:t xml:space="preserve">. Our analysis shows that this is not always the case. For a growing number of women in India, the improvement in status within the household may </w:t>
      </w:r>
      <w:r w:rsidR="009E3478">
        <w:rPr>
          <w:rFonts w:ascii="Times New Roman" w:hAnsi="Times New Roman" w:cs="Times New Roman"/>
          <w:sz w:val="24"/>
          <w:szCs w:val="24"/>
        </w:rPr>
        <w:t xml:space="preserve">even </w:t>
      </w:r>
      <w:r w:rsidR="0077615E">
        <w:rPr>
          <w:rFonts w:ascii="Times New Roman" w:hAnsi="Times New Roman" w:cs="Times New Roman"/>
          <w:sz w:val="24"/>
          <w:szCs w:val="24"/>
        </w:rPr>
        <w:t>be contributing to higher probability of being overweight. Could it be that these women do not know what is good for them? This does not seem to be the case.</w:t>
      </w:r>
      <w:r w:rsidR="0077429E">
        <w:rPr>
          <w:rFonts w:ascii="Times New Roman" w:hAnsi="Times New Roman" w:cs="Times New Roman"/>
          <w:sz w:val="24"/>
          <w:szCs w:val="24"/>
        </w:rPr>
        <w:t xml:space="preserve"> </w:t>
      </w:r>
      <w:r w:rsidR="0077429E" w:rsidRPr="0077429E">
        <w:rPr>
          <w:rFonts w:ascii="Times New Roman" w:hAnsi="Times New Roman" w:cs="Times New Roman"/>
          <w:sz w:val="24"/>
          <w:szCs w:val="24"/>
        </w:rPr>
        <w:t xml:space="preserve">When we </w:t>
      </w:r>
      <w:r w:rsidR="0077429E" w:rsidRPr="0077429E">
        <w:rPr>
          <w:rFonts w:ascii="Times New Roman" w:hAnsi="Times New Roman" w:cs="Times New Roman"/>
          <w:sz w:val="24"/>
          <w:szCs w:val="24"/>
        </w:rPr>
        <w:lastRenderedPageBreak/>
        <w:t>add an interaction term between sex of the first child and the educational attainment of the mother to the quantile regression shown in table 3, the coefficient is positive</w:t>
      </w:r>
      <w:r w:rsidR="00161EFE">
        <w:rPr>
          <w:rFonts w:ascii="Times New Roman" w:hAnsi="Times New Roman" w:cs="Times New Roman"/>
          <w:sz w:val="24"/>
          <w:szCs w:val="24"/>
        </w:rPr>
        <w:t xml:space="preserve"> across the entire distribution of BMIs</w:t>
      </w:r>
      <w:r w:rsidR="0077429E" w:rsidRPr="0077429E">
        <w:rPr>
          <w:rFonts w:ascii="Times New Roman" w:hAnsi="Times New Roman" w:cs="Times New Roman"/>
          <w:sz w:val="24"/>
          <w:szCs w:val="24"/>
        </w:rPr>
        <w:t xml:space="preserve"> and </w:t>
      </w:r>
      <w:r w:rsidR="00161EFE">
        <w:rPr>
          <w:rFonts w:ascii="Times New Roman" w:hAnsi="Times New Roman" w:cs="Times New Roman"/>
          <w:sz w:val="24"/>
          <w:szCs w:val="24"/>
        </w:rPr>
        <w:t xml:space="preserve">statistically </w:t>
      </w:r>
      <w:r w:rsidR="0077429E" w:rsidRPr="0077429E">
        <w:rPr>
          <w:rFonts w:ascii="Times New Roman" w:hAnsi="Times New Roman" w:cs="Times New Roman"/>
          <w:sz w:val="24"/>
          <w:szCs w:val="24"/>
        </w:rPr>
        <w:t xml:space="preserve">significant </w:t>
      </w:r>
      <w:r w:rsidR="00161EFE">
        <w:rPr>
          <w:rFonts w:ascii="Times New Roman" w:hAnsi="Times New Roman" w:cs="Times New Roman"/>
          <w:sz w:val="24"/>
          <w:szCs w:val="24"/>
        </w:rPr>
        <w:t>between</w:t>
      </w:r>
      <w:r w:rsidR="0077429E" w:rsidRPr="0077429E">
        <w:rPr>
          <w:rFonts w:ascii="Times New Roman" w:hAnsi="Times New Roman" w:cs="Times New Roman"/>
          <w:sz w:val="24"/>
          <w:szCs w:val="24"/>
        </w:rPr>
        <w:t xml:space="preserve"> the </w:t>
      </w:r>
      <w:r w:rsidR="00614495">
        <w:rPr>
          <w:rFonts w:ascii="Times New Roman" w:hAnsi="Times New Roman" w:cs="Times New Roman"/>
          <w:sz w:val="24"/>
          <w:szCs w:val="24"/>
        </w:rPr>
        <w:t>30</w:t>
      </w:r>
      <w:r w:rsidR="00614495" w:rsidRPr="003364E4">
        <w:rPr>
          <w:rFonts w:ascii="Times New Roman" w:hAnsi="Times New Roman" w:cs="Times New Roman"/>
          <w:sz w:val="24"/>
          <w:szCs w:val="24"/>
          <w:vertAlign w:val="superscript"/>
        </w:rPr>
        <w:t>th</w:t>
      </w:r>
      <w:r w:rsidR="00614495">
        <w:rPr>
          <w:rFonts w:ascii="Times New Roman" w:hAnsi="Times New Roman" w:cs="Times New Roman"/>
          <w:sz w:val="24"/>
          <w:szCs w:val="24"/>
        </w:rPr>
        <w:t xml:space="preserve"> </w:t>
      </w:r>
      <w:r w:rsidR="00161EFE">
        <w:rPr>
          <w:rFonts w:ascii="Times New Roman" w:hAnsi="Times New Roman" w:cs="Times New Roman"/>
          <w:sz w:val="24"/>
          <w:szCs w:val="24"/>
        </w:rPr>
        <w:t>and</w:t>
      </w:r>
      <w:r w:rsidR="00614495">
        <w:rPr>
          <w:rFonts w:ascii="Times New Roman" w:hAnsi="Times New Roman" w:cs="Times New Roman"/>
          <w:sz w:val="24"/>
          <w:szCs w:val="24"/>
        </w:rPr>
        <w:t xml:space="preserve"> 70</w:t>
      </w:r>
      <w:r w:rsidR="00614495" w:rsidRPr="003364E4">
        <w:rPr>
          <w:rFonts w:ascii="Times New Roman" w:hAnsi="Times New Roman" w:cs="Times New Roman"/>
          <w:sz w:val="24"/>
          <w:szCs w:val="24"/>
          <w:vertAlign w:val="superscript"/>
        </w:rPr>
        <w:t>th</w:t>
      </w:r>
      <w:r w:rsidR="00614495">
        <w:rPr>
          <w:rFonts w:ascii="Times New Roman" w:hAnsi="Times New Roman" w:cs="Times New Roman"/>
          <w:sz w:val="24"/>
          <w:szCs w:val="24"/>
        </w:rPr>
        <w:t xml:space="preserve"> percentiles of</w:t>
      </w:r>
      <w:r w:rsidR="0077429E" w:rsidRPr="0077429E">
        <w:rPr>
          <w:rFonts w:ascii="Times New Roman" w:hAnsi="Times New Roman" w:cs="Times New Roman"/>
          <w:sz w:val="24"/>
          <w:szCs w:val="24"/>
        </w:rPr>
        <w:t xml:space="preserve"> BMIs.</w:t>
      </w:r>
      <w:r w:rsidR="00614495">
        <w:rPr>
          <w:rFonts w:ascii="Times New Roman" w:hAnsi="Times New Roman" w:cs="Times New Roman"/>
          <w:sz w:val="24"/>
          <w:szCs w:val="24"/>
        </w:rPr>
        <w:t xml:space="preserve"> </w:t>
      </w:r>
      <w:r w:rsidR="009E3478">
        <w:rPr>
          <w:rFonts w:ascii="Times New Roman" w:hAnsi="Times New Roman" w:cs="Times New Roman"/>
          <w:sz w:val="24"/>
          <w:szCs w:val="24"/>
        </w:rPr>
        <w:t>The increase in BMI with improved status is not smaller for more educated women</w:t>
      </w:r>
      <w:r w:rsidR="0077429E">
        <w:rPr>
          <w:rFonts w:ascii="Times New Roman" w:hAnsi="Times New Roman" w:cs="Times New Roman"/>
          <w:sz w:val="24"/>
          <w:szCs w:val="24"/>
        </w:rPr>
        <w:t>.</w:t>
      </w:r>
    </w:p>
    <w:p w14:paraId="53BCD494" w14:textId="26C73118" w:rsidR="00EC0305" w:rsidRPr="005B0401" w:rsidRDefault="000435C2" w:rsidP="00E40471">
      <w:pPr>
        <w:spacing w:line="360" w:lineRule="auto"/>
        <w:jc w:val="both"/>
        <w:rPr>
          <w:rFonts w:ascii="Times New Roman" w:hAnsi="Times New Roman" w:cs="Times New Roman"/>
          <w:sz w:val="24"/>
          <w:szCs w:val="24"/>
        </w:rPr>
      </w:pPr>
      <w:r>
        <w:rPr>
          <w:rFonts w:ascii="Times New Roman" w:hAnsi="Times New Roman" w:cs="Times New Roman"/>
          <w:sz w:val="24"/>
          <w:szCs w:val="24"/>
        </w:rPr>
        <w:t>High BMI is the penalty a growing number of Indian women seem to be paying for improvements in their conditions (education, job profile, intrahousehold status, etc.). Reversing the positive correlation between status and body weight at the higher ends of the distribution of BMI may require special efforts to raise public awareness and improve the food environment.</w:t>
      </w:r>
    </w:p>
    <w:p w14:paraId="7D63DB81" w14:textId="77777777" w:rsidR="009C3558" w:rsidRDefault="009C3558" w:rsidP="0035136E">
      <w:pPr>
        <w:spacing w:before="240"/>
        <w:rPr>
          <w:rFonts w:ascii="Times New Roman" w:hAnsi="Times New Roman" w:cs="Times New Roman"/>
          <w:b/>
          <w:sz w:val="24"/>
          <w:szCs w:val="24"/>
        </w:rPr>
      </w:pPr>
      <w:r>
        <w:rPr>
          <w:rFonts w:ascii="Times New Roman" w:hAnsi="Times New Roman" w:cs="Times New Roman"/>
          <w:b/>
          <w:sz w:val="24"/>
          <w:szCs w:val="24"/>
        </w:rPr>
        <w:t>References</w:t>
      </w:r>
    </w:p>
    <w:p w14:paraId="7AE8D48D" w14:textId="77777777" w:rsidR="00B9534E" w:rsidRPr="00B9534E" w:rsidRDefault="009C3558"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color w:val="FF0000"/>
          <w:sz w:val="24"/>
          <w:szCs w:val="24"/>
        </w:rPr>
        <w:fldChar w:fldCharType="begin" w:fldLock="1"/>
      </w:r>
      <w:r>
        <w:rPr>
          <w:rFonts w:ascii="Times New Roman" w:hAnsi="Times New Roman" w:cs="Times New Roman"/>
          <w:color w:val="FF0000"/>
          <w:sz w:val="24"/>
          <w:szCs w:val="24"/>
        </w:rPr>
        <w:instrText xml:space="preserve">ADDIN Mendeley Bibliography CSL_BIBLIOGRAPHY </w:instrText>
      </w:r>
      <w:r>
        <w:rPr>
          <w:rFonts w:ascii="Times New Roman" w:hAnsi="Times New Roman" w:cs="Times New Roman"/>
          <w:color w:val="FF0000"/>
          <w:sz w:val="24"/>
          <w:szCs w:val="24"/>
        </w:rPr>
        <w:fldChar w:fldCharType="separate"/>
      </w:r>
      <w:r w:rsidR="00B9534E" w:rsidRPr="00B9534E">
        <w:rPr>
          <w:rFonts w:ascii="Times New Roman" w:hAnsi="Times New Roman" w:cs="Times New Roman"/>
          <w:noProof/>
          <w:sz w:val="24"/>
          <w:szCs w:val="24"/>
        </w:rPr>
        <w:t xml:space="preserve">Aziz, N., Kallur, S. D., &amp; Nirmalan, P. K. (2014). Implications of the revised consensus body mass indices for asian indians on clinical obstetric practice. </w:t>
      </w:r>
      <w:r w:rsidR="00B9534E" w:rsidRPr="00B9534E">
        <w:rPr>
          <w:rFonts w:ascii="Times New Roman" w:hAnsi="Times New Roman" w:cs="Times New Roman"/>
          <w:i/>
          <w:iCs/>
          <w:noProof/>
          <w:sz w:val="24"/>
          <w:szCs w:val="24"/>
        </w:rPr>
        <w:t>Journal of Clinical and Diagnostic Research</w:t>
      </w:r>
      <w:r w:rsidR="00B9534E" w:rsidRPr="00B9534E">
        <w:rPr>
          <w:rFonts w:ascii="Times New Roman" w:hAnsi="Times New Roman" w:cs="Times New Roman"/>
          <w:noProof/>
          <w:sz w:val="24"/>
          <w:szCs w:val="24"/>
        </w:rPr>
        <w:t xml:space="preserve">, </w:t>
      </w:r>
      <w:r w:rsidR="00B9534E" w:rsidRPr="00B9534E">
        <w:rPr>
          <w:rFonts w:ascii="Times New Roman" w:hAnsi="Times New Roman" w:cs="Times New Roman"/>
          <w:i/>
          <w:iCs/>
          <w:noProof/>
          <w:sz w:val="24"/>
          <w:szCs w:val="24"/>
        </w:rPr>
        <w:t>8</w:t>
      </w:r>
      <w:r w:rsidR="00B9534E" w:rsidRPr="00B9534E">
        <w:rPr>
          <w:rFonts w:ascii="Times New Roman" w:hAnsi="Times New Roman" w:cs="Times New Roman"/>
          <w:noProof/>
          <w:sz w:val="24"/>
          <w:szCs w:val="24"/>
        </w:rPr>
        <w:t>.</w:t>
      </w:r>
    </w:p>
    <w:p w14:paraId="512F2C9E"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Bhalotra, S., Brulé, R., &amp; Roy, S. (2018). Women’s inheritance rights reform and the preference for sons in India. </w:t>
      </w:r>
      <w:r w:rsidRPr="00B9534E">
        <w:rPr>
          <w:rFonts w:ascii="Times New Roman" w:hAnsi="Times New Roman" w:cs="Times New Roman"/>
          <w:i/>
          <w:iCs/>
          <w:noProof/>
          <w:sz w:val="24"/>
          <w:szCs w:val="24"/>
        </w:rPr>
        <w:t>Journal of Development Economics</w:t>
      </w:r>
      <w:r w:rsidRPr="00B9534E">
        <w:rPr>
          <w:rFonts w:ascii="Times New Roman" w:hAnsi="Times New Roman" w:cs="Times New Roman"/>
          <w:noProof/>
          <w:sz w:val="24"/>
          <w:szCs w:val="24"/>
        </w:rPr>
        <w:t>.</w:t>
      </w:r>
    </w:p>
    <w:p w14:paraId="19CF8BEF"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Bhalotra, S. R., &amp; Cochrane, T. (2010). </w:t>
      </w:r>
      <w:r w:rsidRPr="00B9534E">
        <w:rPr>
          <w:rFonts w:ascii="Times New Roman" w:hAnsi="Times New Roman" w:cs="Times New Roman"/>
          <w:i/>
          <w:iCs/>
          <w:noProof/>
          <w:sz w:val="24"/>
          <w:szCs w:val="24"/>
        </w:rPr>
        <w:t>Where Have All the Young Girls Gone? Identification of Sex Selection in India</w:t>
      </w:r>
      <w:r w:rsidRPr="00B9534E">
        <w:rPr>
          <w:rFonts w:ascii="Times New Roman" w:hAnsi="Times New Roman" w:cs="Times New Roman"/>
          <w:noProof/>
          <w:sz w:val="24"/>
          <w:szCs w:val="24"/>
        </w:rPr>
        <w:t>. IZA Discussion paper.</w:t>
      </w:r>
    </w:p>
    <w:p w14:paraId="4A37FDD4"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Calvi, R. (2017). </w:t>
      </w:r>
      <w:r w:rsidRPr="00B9534E">
        <w:rPr>
          <w:rFonts w:ascii="Times New Roman" w:hAnsi="Times New Roman" w:cs="Times New Roman"/>
          <w:i/>
          <w:iCs/>
          <w:noProof/>
          <w:sz w:val="24"/>
          <w:szCs w:val="24"/>
        </w:rPr>
        <w:t>Why Are Older Women Missing in India? The Age Profile of Bargaining Power and Poverty</w:t>
      </w:r>
      <w:r w:rsidRPr="00B9534E">
        <w:rPr>
          <w:rFonts w:ascii="Times New Roman" w:hAnsi="Times New Roman" w:cs="Times New Roman"/>
          <w:noProof/>
          <w:sz w:val="24"/>
          <w:szCs w:val="24"/>
        </w:rPr>
        <w:t>. Retrieved from https://www.ssrn.com/abstract=3190369</w:t>
      </w:r>
    </w:p>
    <w:p w14:paraId="61119C1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Clark, S. (2000). Son Preference and Sex Composition of Children: Evidence from India. </w:t>
      </w:r>
      <w:r w:rsidRPr="00B9534E">
        <w:rPr>
          <w:rFonts w:ascii="Times New Roman" w:hAnsi="Times New Roman" w:cs="Times New Roman"/>
          <w:i/>
          <w:iCs/>
          <w:noProof/>
          <w:sz w:val="24"/>
          <w:szCs w:val="24"/>
        </w:rPr>
        <w:t>Demography</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37</w:t>
      </w:r>
      <w:r w:rsidRPr="00B9534E">
        <w:rPr>
          <w:rFonts w:ascii="Times New Roman" w:hAnsi="Times New Roman" w:cs="Times New Roman"/>
          <w:noProof/>
          <w:sz w:val="24"/>
          <w:szCs w:val="24"/>
        </w:rPr>
        <w:t>(1), 95.</w:t>
      </w:r>
    </w:p>
    <w:p w14:paraId="7B9DCB4F"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Coffey, D., Khera, R., &amp; Spears, D. (2015). </w:t>
      </w:r>
      <w:r w:rsidRPr="00B9534E">
        <w:rPr>
          <w:rFonts w:ascii="Times New Roman" w:hAnsi="Times New Roman" w:cs="Times New Roman"/>
          <w:i/>
          <w:iCs/>
          <w:noProof/>
          <w:sz w:val="24"/>
          <w:szCs w:val="24"/>
        </w:rPr>
        <w:t>Intergenerational effects of women’s status: Evidence from joint Indian households</w:t>
      </w:r>
      <w:r w:rsidRPr="00B9534E">
        <w:rPr>
          <w:rFonts w:ascii="Times New Roman" w:hAnsi="Times New Roman" w:cs="Times New Roman"/>
          <w:noProof/>
          <w:sz w:val="24"/>
          <w:szCs w:val="24"/>
        </w:rPr>
        <w:t>.</w:t>
      </w:r>
    </w:p>
    <w:p w14:paraId="6F8D954D"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Coffey, D., &amp; Spears, D. (2018). Child Height in India : Facts and Interpretations from the NFHS-4, 2015–16. </w:t>
      </w:r>
      <w:r w:rsidRPr="00B9534E">
        <w:rPr>
          <w:rFonts w:ascii="Times New Roman" w:hAnsi="Times New Roman" w:cs="Times New Roman"/>
          <w:i/>
          <w:iCs/>
          <w:noProof/>
          <w:sz w:val="24"/>
          <w:szCs w:val="24"/>
        </w:rPr>
        <w:t>Economic and Political Weekly</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53</w:t>
      </w:r>
      <w:r w:rsidRPr="00B9534E">
        <w:rPr>
          <w:rFonts w:ascii="Times New Roman" w:hAnsi="Times New Roman" w:cs="Times New Roman"/>
          <w:noProof/>
          <w:sz w:val="24"/>
          <w:szCs w:val="24"/>
        </w:rPr>
        <w:t>(31).</w:t>
      </w:r>
    </w:p>
    <w:p w14:paraId="25A591B4"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Dang, A., &amp; Meenakshi, J. V. (2017). </w:t>
      </w:r>
      <w:r w:rsidRPr="00B9534E">
        <w:rPr>
          <w:rFonts w:ascii="Times New Roman" w:hAnsi="Times New Roman" w:cs="Times New Roman"/>
          <w:i/>
          <w:iCs/>
          <w:noProof/>
          <w:sz w:val="24"/>
          <w:szCs w:val="24"/>
        </w:rPr>
        <w:t>The Nutrition Transition and the Intra-Household Double Burden of Malnutrition in India</w:t>
      </w:r>
      <w:r w:rsidRPr="00B9534E">
        <w:rPr>
          <w:rFonts w:ascii="Times New Roman" w:hAnsi="Times New Roman" w:cs="Times New Roman"/>
          <w:noProof/>
          <w:sz w:val="24"/>
          <w:szCs w:val="24"/>
        </w:rPr>
        <w:t>.</w:t>
      </w:r>
    </w:p>
    <w:p w14:paraId="5BD35B10"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Dietz, W. (1993). Television, Obesity, and Eating Disorders. </w:t>
      </w:r>
      <w:r w:rsidRPr="00B9534E">
        <w:rPr>
          <w:rFonts w:ascii="Times New Roman" w:hAnsi="Times New Roman" w:cs="Times New Roman"/>
          <w:i/>
          <w:iCs/>
          <w:noProof/>
          <w:sz w:val="24"/>
          <w:szCs w:val="24"/>
        </w:rPr>
        <w:t>Adolescent Medicine (Philadelphia, Pa.)</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4</w:t>
      </w:r>
      <w:r w:rsidRPr="00B9534E">
        <w:rPr>
          <w:rFonts w:ascii="Times New Roman" w:hAnsi="Times New Roman" w:cs="Times New Roman"/>
          <w:noProof/>
          <w:sz w:val="24"/>
          <w:szCs w:val="24"/>
        </w:rPr>
        <w:t>(3), 543–550.</w:t>
      </w:r>
    </w:p>
    <w:p w14:paraId="56596940"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lastRenderedPageBreak/>
        <w:t xml:space="preserve">Eswaran, M., Ramaswami, B., &amp; Wadhwa, W. (2013). Status, caste, and the time allocation of women in rural India. </w:t>
      </w:r>
      <w:r w:rsidRPr="00B9534E">
        <w:rPr>
          <w:rFonts w:ascii="Times New Roman" w:hAnsi="Times New Roman" w:cs="Times New Roman"/>
          <w:i/>
          <w:iCs/>
          <w:noProof/>
          <w:sz w:val="24"/>
          <w:szCs w:val="24"/>
        </w:rPr>
        <w:t>Economic Development and Cultural Change</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61</w:t>
      </w:r>
      <w:r w:rsidRPr="00B9534E">
        <w:rPr>
          <w:rFonts w:ascii="Times New Roman" w:hAnsi="Times New Roman" w:cs="Times New Roman"/>
          <w:noProof/>
          <w:sz w:val="24"/>
          <w:szCs w:val="24"/>
        </w:rPr>
        <w:t>(2), 311–333. https://doi.org/10.1086/668282</w:t>
      </w:r>
    </w:p>
    <w:p w14:paraId="3F27A06E"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Gaiha, R., Jha, R., &amp; Kulkarni, V. S. (2013). How Pervasive is Eating Out in India? </w:t>
      </w:r>
      <w:r w:rsidRPr="00B9534E">
        <w:rPr>
          <w:rFonts w:ascii="Times New Roman" w:hAnsi="Times New Roman" w:cs="Times New Roman"/>
          <w:i/>
          <w:iCs/>
          <w:noProof/>
          <w:sz w:val="24"/>
          <w:szCs w:val="24"/>
        </w:rPr>
        <w:t>Journal of Asian and African Studies</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48</w:t>
      </w:r>
      <w:r w:rsidRPr="00B9534E">
        <w:rPr>
          <w:rFonts w:ascii="Times New Roman" w:hAnsi="Times New Roman" w:cs="Times New Roman"/>
          <w:noProof/>
          <w:sz w:val="24"/>
          <w:szCs w:val="24"/>
        </w:rPr>
        <w:t>(3), 370–386. https://doi.org/10.1177/0021909612472040</w:t>
      </w:r>
    </w:p>
    <w:p w14:paraId="6E42702E"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Griffiths, P. L., &amp; Bentley, M. E. (2001). The nutrition transition is underway in India. </w:t>
      </w:r>
      <w:r w:rsidRPr="00B9534E">
        <w:rPr>
          <w:rFonts w:ascii="Times New Roman" w:hAnsi="Times New Roman" w:cs="Times New Roman"/>
          <w:i/>
          <w:iCs/>
          <w:noProof/>
          <w:sz w:val="24"/>
          <w:szCs w:val="24"/>
        </w:rPr>
        <w:t>The Journal of Nutrition</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131</w:t>
      </w:r>
      <w:r w:rsidRPr="00B9534E">
        <w:rPr>
          <w:rFonts w:ascii="Times New Roman" w:hAnsi="Times New Roman" w:cs="Times New Roman"/>
          <w:noProof/>
          <w:sz w:val="24"/>
          <w:szCs w:val="24"/>
        </w:rPr>
        <w:t>(10), 2692–2700.</w:t>
      </w:r>
    </w:p>
    <w:p w14:paraId="05D674D9"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International Diabetes Federation. (2017). </w:t>
      </w:r>
      <w:r w:rsidRPr="00B9534E">
        <w:rPr>
          <w:rFonts w:ascii="Times New Roman" w:hAnsi="Times New Roman" w:cs="Times New Roman"/>
          <w:i/>
          <w:iCs/>
          <w:noProof/>
          <w:sz w:val="24"/>
          <w:szCs w:val="24"/>
        </w:rPr>
        <w:t>IDF Diabetes Atlas, Eighth edition</w:t>
      </w:r>
      <w:r w:rsidRPr="00B9534E">
        <w:rPr>
          <w:rFonts w:ascii="Times New Roman" w:hAnsi="Times New Roman" w:cs="Times New Roman"/>
          <w:noProof/>
          <w:sz w:val="24"/>
          <w:szCs w:val="24"/>
        </w:rPr>
        <w:t>. Retrieved from http://www.diabetesatlas.org/across-the-globe.html</w:t>
      </w:r>
    </w:p>
    <w:p w14:paraId="0F4D5E1C"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International Institute for Population Studies. (2017). </w:t>
      </w:r>
      <w:r w:rsidRPr="00B9534E">
        <w:rPr>
          <w:rFonts w:ascii="Times New Roman" w:hAnsi="Times New Roman" w:cs="Times New Roman"/>
          <w:i/>
          <w:iCs/>
          <w:noProof/>
          <w:sz w:val="24"/>
          <w:szCs w:val="24"/>
        </w:rPr>
        <w:t>NFHS-4 (National Family Health Survey-4) India Fact Sheet</w:t>
      </w:r>
      <w:r w:rsidRPr="00B9534E">
        <w:rPr>
          <w:rFonts w:ascii="Times New Roman" w:hAnsi="Times New Roman" w:cs="Times New Roman"/>
          <w:noProof/>
          <w:sz w:val="24"/>
          <w:szCs w:val="24"/>
        </w:rPr>
        <w:t>.</w:t>
      </w:r>
    </w:p>
    <w:p w14:paraId="2620114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Jha, P., Kesler, M. A., Kumar, R., Ram, F., Ram, U., Aleksandrowicz, L., … Banthia, J. K. (2011). Trends in selective abortions of girls in India: analysis of nationally representative birth histories from 1990 to 2005 and census data from 1991 to 2011. </w:t>
      </w:r>
      <w:r w:rsidRPr="00B9534E">
        <w:rPr>
          <w:rFonts w:ascii="Times New Roman" w:hAnsi="Times New Roman" w:cs="Times New Roman"/>
          <w:i/>
          <w:iCs/>
          <w:noProof/>
          <w:sz w:val="24"/>
          <w:szCs w:val="24"/>
        </w:rPr>
        <w:t>The Lancet</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377</w:t>
      </w:r>
      <w:r w:rsidRPr="00B9534E">
        <w:rPr>
          <w:rFonts w:ascii="Times New Roman" w:hAnsi="Times New Roman" w:cs="Times New Roman"/>
          <w:noProof/>
          <w:sz w:val="24"/>
          <w:szCs w:val="24"/>
        </w:rPr>
        <w:t>(9781), 1921–1928.</w:t>
      </w:r>
    </w:p>
    <w:p w14:paraId="37434747"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Joshi, K., Roy, D., Iannotti, L., Nagar, A., &amp; Kishore, A. (2019). </w:t>
      </w:r>
      <w:r w:rsidRPr="00B9534E">
        <w:rPr>
          <w:rFonts w:ascii="Times New Roman" w:hAnsi="Times New Roman" w:cs="Times New Roman"/>
          <w:i/>
          <w:iCs/>
          <w:noProof/>
          <w:sz w:val="24"/>
          <w:szCs w:val="24"/>
        </w:rPr>
        <w:t>The effects of changing lifestyle and dietary patterns on obesity and non-communicable diseases in India</w:t>
      </w:r>
      <w:r w:rsidRPr="00B9534E">
        <w:rPr>
          <w:rFonts w:ascii="Times New Roman" w:hAnsi="Times New Roman" w:cs="Times New Roman"/>
          <w:noProof/>
          <w:sz w:val="24"/>
          <w:szCs w:val="24"/>
        </w:rPr>
        <w:t>.</w:t>
      </w:r>
    </w:p>
    <w:p w14:paraId="2B124603"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Kishor, S., &amp; Gupta, K. (2004). Women’s empowerment in India and its states: evidence from the NFHS. </w:t>
      </w:r>
      <w:r w:rsidRPr="00B9534E">
        <w:rPr>
          <w:rFonts w:ascii="Times New Roman" w:hAnsi="Times New Roman" w:cs="Times New Roman"/>
          <w:i/>
          <w:iCs/>
          <w:noProof/>
          <w:sz w:val="24"/>
          <w:szCs w:val="24"/>
        </w:rPr>
        <w:t>Economic and Political Weekly</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39</w:t>
      </w:r>
      <w:r w:rsidRPr="00B9534E">
        <w:rPr>
          <w:rFonts w:ascii="Times New Roman" w:hAnsi="Times New Roman" w:cs="Times New Roman"/>
          <w:noProof/>
          <w:sz w:val="24"/>
          <w:szCs w:val="24"/>
        </w:rPr>
        <w:t>(7), 694–712. https://doi.org/10.2307/4414645</w:t>
      </w:r>
    </w:p>
    <w:p w14:paraId="7714A50C"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Kishore, A., &amp; Spears, D. (2014). Having a Son Promotes Clean Cooking Fuel Use in Urban India : Women ’ s Status and Son Preference. </w:t>
      </w:r>
      <w:r w:rsidRPr="00B9534E">
        <w:rPr>
          <w:rFonts w:ascii="Times New Roman" w:hAnsi="Times New Roman" w:cs="Times New Roman"/>
          <w:i/>
          <w:iCs/>
          <w:noProof/>
          <w:sz w:val="24"/>
          <w:szCs w:val="24"/>
        </w:rPr>
        <w:t>Economic Development and Cultural Change</w:t>
      </w:r>
      <w:r w:rsidRPr="00B9534E">
        <w:rPr>
          <w:rFonts w:ascii="Times New Roman" w:hAnsi="Times New Roman" w:cs="Times New Roman"/>
          <w:noProof/>
          <w:sz w:val="24"/>
          <w:szCs w:val="24"/>
        </w:rPr>
        <w:t>.</w:t>
      </w:r>
    </w:p>
    <w:p w14:paraId="6E0CB3E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Klasen, S., &amp; Pieters, J. (2012). </w:t>
      </w:r>
      <w:r w:rsidRPr="00B9534E">
        <w:rPr>
          <w:rFonts w:ascii="Times New Roman" w:hAnsi="Times New Roman" w:cs="Times New Roman"/>
          <w:i/>
          <w:iCs/>
          <w:noProof/>
          <w:sz w:val="24"/>
          <w:szCs w:val="24"/>
        </w:rPr>
        <w:t>Push or Pull? Drivers of Female Labor Force Participation during India’s Economic Boom</w:t>
      </w:r>
      <w:r w:rsidRPr="00B9534E">
        <w:rPr>
          <w:rFonts w:ascii="Times New Roman" w:hAnsi="Times New Roman" w:cs="Times New Roman"/>
          <w:noProof/>
          <w:sz w:val="24"/>
          <w:szCs w:val="24"/>
        </w:rPr>
        <w:t>.</w:t>
      </w:r>
    </w:p>
    <w:p w14:paraId="785E3FD0"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Malapit, H. J. L., Kadiyala, S., Quisumbing, A. R., Cunningham, K., &amp; Tyagi, P. (2013). </w:t>
      </w:r>
      <w:r w:rsidRPr="00B9534E">
        <w:rPr>
          <w:rFonts w:ascii="Times New Roman" w:hAnsi="Times New Roman" w:cs="Times New Roman"/>
          <w:i/>
          <w:iCs/>
          <w:noProof/>
          <w:sz w:val="24"/>
          <w:szCs w:val="24"/>
        </w:rPr>
        <w:t>Women’s empowerment in agriculture, production diversity, and nutrition: Evidence from Nepal</w:t>
      </w:r>
      <w:r w:rsidRPr="00B9534E">
        <w:rPr>
          <w:rFonts w:ascii="Times New Roman" w:hAnsi="Times New Roman" w:cs="Times New Roman"/>
          <w:noProof/>
          <w:sz w:val="24"/>
          <w:szCs w:val="24"/>
        </w:rPr>
        <w:t>.</w:t>
      </w:r>
    </w:p>
    <w:p w14:paraId="52C316DB"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lastRenderedPageBreak/>
        <w:t xml:space="preserve">Martorell, R., Khan, L. K., Hughes, M., &amp; Grummer-Strawn, L. (2000). Obesity in women from developing countries. </w:t>
      </w:r>
      <w:r w:rsidRPr="00B9534E">
        <w:rPr>
          <w:rFonts w:ascii="Times New Roman" w:hAnsi="Times New Roman" w:cs="Times New Roman"/>
          <w:i/>
          <w:iCs/>
          <w:noProof/>
          <w:sz w:val="24"/>
          <w:szCs w:val="24"/>
        </w:rPr>
        <w:t>European Journal of Clinical Nutrition</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54</w:t>
      </w:r>
      <w:r w:rsidRPr="00B9534E">
        <w:rPr>
          <w:rFonts w:ascii="Times New Roman" w:hAnsi="Times New Roman" w:cs="Times New Roman"/>
          <w:noProof/>
          <w:sz w:val="24"/>
          <w:szCs w:val="24"/>
        </w:rPr>
        <w:t>, 247–252. https://doi.org/10.1038/sj.ejcn.1600931</w:t>
      </w:r>
    </w:p>
    <w:p w14:paraId="2150B8FC"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Milazzo, A. (2018). Why are adult women missing? Son preference and maternal survival in India. </w:t>
      </w:r>
      <w:r w:rsidRPr="00B9534E">
        <w:rPr>
          <w:rFonts w:ascii="Times New Roman" w:hAnsi="Times New Roman" w:cs="Times New Roman"/>
          <w:i/>
          <w:iCs/>
          <w:noProof/>
          <w:sz w:val="24"/>
          <w:szCs w:val="24"/>
        </w:rPr>
        <w:t>Journal of Development Economics</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134</w:t>
      </w:r>
      <w:r w:rsidRPr="00B9534E">
        <w:rPr>
          <w:rFonts w:ascii="Times New Roman" w:hAnsi="Times New Roman" w:cs="Times New Roman"/>
          <w:noProof/>
          <w:sz w:val="24"/>
          <w:szCs w:val="24"/>
        </w:rPr>
        <w:t>, 467–484.</w:t>
      </w:r>
    </w:p>
    <w:p w14:paraId="30D564D4"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Misra, A., Singhal, N., Sivakumar, B., Bhagat, N., Jaiswal, A., &amp; Khurana, L. (2011). Nutrition transition in India: Secular trends in dietary intake and their relationship to diet-related non-communicable diseases. </w:t>
      </w:r>
      <w:r w:rsidRPr="00B9534E">
        <w:rPr>
          <w:rFonts w:ascii="Times New Roman" w:hAnsi="Times New Roman" w:cs="Times New Roman"/>
          <w:i/>
          <w:iCs/>
          <w:noProof/>
          <w:sz w:val="24"/>
          <w:szCs w:val="24"/>
        </w:rPr>
        <w:t>Journal of Diabetes</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3</w:t>
      </w:r>
      <w:r w:rsidRPr="00B9534E">
        <w:rPr>
          <w:rFonts w:ascii="Times New Roman" w:hAnsi="Times New Roman" w:cs="Times New Roman"/>
          <w:noProof/>
          <w:sz w:val="24"/>
          <w:szCs w:val="24"/>
        </w:rPr>
        <w:t>(4), 278–292.</w:t>
      </w:r>
    </w:p>
    <w:p w14:paraId="0589E539"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Nguyen, T. T., Adair, L. S., Suchindran, C. M., He, K., &amp; Popkin, B. M. (2009). The association between body mass index and hypertension is different between East and Southeast Asians. </w:t>
      </w:r>
      <w:r w:rsidRPr="00B9534E">
        <w:rPr>
          <w:rFonts w:ascii="Times New Roman" w:hAnsi="Times New Roman" w:cs="Times New Roman"/>
          <w:i/>
          <w:iCs/>
          <w:noProof/>
          <w:sz w:val="24"/>
          <w:szCs w:val="24"/>
        </w:rPr>
        <w:t>The American Journal of Clinical Nutrition</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89</w:t>
      </w:r>
      <w:r w:rsidRPr="00B9534E">
        <w:rPr>
          <w:rFonts w:ascii="Times New Roman" w:hAnsi="Times New Roman" w:cs="Times New Roman"/>
          <w:noProof/>
          <w:sz w:val="24"/>
          <w:szCs w:val="24"/>
        </w:rPr>
        <w:t>(6), 1905–1912.</w:t>
      </w:r>
    </w:p>
    <w:p w14:paraId="162B64C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Patel, O., Shahulhameed, S., Shivashankar, R., Tayyab, M., Rahman, A., Prabhakaran, D., … Jaacks, L. M. (2017). Association between full service and fast food restaurant density, dietary intake and overweight/obesity among adults in Delhi, India. </w:t>
      </w:r>
      <w:r w:rsidRPr="00B9534E">
        <w:rPr>
          <w:rFonts w:ascii="Times New Roman" w:hAnsi="Times New Roman" w:cs="Times New Roman"/>
          <w:i/>
          <w:iCs/>
          <w:noProof/>
          <w:sz w:val="24"/>
          <w:szCs w:val="24"/>
        </w:rPr>
        <w:t>BMC Public Health</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18</w:t>
      </w:r>
      <w:r w:rsidRPr="00B9534E">
        <w:rPr>
          <w:rFonts w:ascii="Times New Roman" w:hAnsi="Times New Roman" w:cs="Times New Roman"/>
          <w:noProof/>
          <w:sz w:val="24"/>
          <w:szCs w:val="24"/>
        </w:rPr>
        <w:t>(1), 1–11. https://doi.org/10.1186/s12889-017-4598-8</w:t>
      </w:r>
    </w:p>
    <w:p w14:paraId="19C5A1BA"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Popkin, B. M., Adair, L. S., &amp; Ng, S. W. (2012). The Global Nutrition Transition: The Pandemic of Obesity in Developing Countries. </w:t>
      </w:r>
      <w:r w:rsidRPr="00B9534E">
        <w:rPr>
          <w:rFonts w:ascii="Times New Roman" w:hAnsi="Times New Roman" w:cs="Times New Roman"/>
          <w:i/>
          <w:iCs/>
          <w:noProof/>
          <w:sz w:val="24"/>
          <w:szCs w:val="24"/>
        </w:rPr>
        <w:t>Nutrition Review</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70</w:t>
      </w:r>
      <w:r w:rsidRPr="00B9534E">
        <w:rPr>
          <w:rFonts w:ascii="Times New Roman" w:hAnsi="Times New Roman" w:cs="Times New Roman"/>
          <w:noProof/>
          <w:sz w:val="24"/>
          <w:szCs w:val="24"/>
        </w:rPr>
        <w:t>(1), 3–21.</w:t>
      </w:r>
    </w:p>
    <w:p w14:paraId="4DDA0CF9"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Popkin, B. M., Horton, S., Kim, S., Mahal, A., &amp; Shuigao, J. (2009). Trends in Diet, Nutritional Status, and Diet-related Noncommunicable Diseases in China and India: The Economic Costs of the Nutrition Transition. </w:t>
      </w:r>
      <w:r w:rsidRPr="00B9534E">
        <w:rPr>
          <w:rFonts w:ascii="Times New Roman" w:hAnsi="Times New Roman" w:cs="Times New Roman"/>
          <w:i/>
          <w:iCs/>
          <w:noProof/>
          <w:sz w:val="24"/>
          <w:szCs w:val="24"/>
        </w:rPr>
        <w:t>Nutrition Reviews</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59</w:t>
      </w:r>
      <w:r w:rsidRPr="00B9534E">
        <w:rPr>
          <w:rFonts w:ascii="Times New Roman" w:hAnsi="Times New Roman" w:cs="Times New Roman"/>
          <w:noProof/>
          <w:sz w:val="24"/>
          <w:szCs w:val="24"/>
        </w:rPr>
        <w:t>(12), 379–390.</w:t>
      </w:r>
    </w:p>
    <w:p w14:paraId="4130935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Rao, N., Verschoor, A., Deshpande, A., &amp; Dubey, A. (2010). </w:t>
      </w:r>
      <w:r w:rsidRPr="00B9534E">
        <w:rPr>
          <w:rFonts w:ascii="Times New Roman" w:hAnsi="Times New Roman" w:cs="Times New Roman"/>
          <w:i/>
          <w:iCs/>
          <w:noProof/>
          <w:sz w:val="24"/>
          <w:szCs w:val="24"/>
        </w:rPr>
        <w:t>Gender caste and growth assessment-India: Report to Department for International development</w:t>
      </w:r>
      <w:r w:rsidRPr="00B9534E">
        <w:rPr>
          <w:rFonts w:ascii="Times New Roman" w:hAnsi="Times New Roman" w:cs="Times New Roman"/>
          <w:noProof/>
          <w:sz w:val="24"/>
          <w:szCs w:val="24"/>
        </w:rPr>
        <w:t>.</w:t>
      </w:r>
    </w:p>
    <w:p w14:paraId="7F910CC6"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Rosenblum, D. (2013). The effect of fertility decisions on excess female mortality in India. </w:t>
      </w:r>
      <w:r w:rsidRPr="00B9534E">
        <w:rPr>
          <w:rFonts w:ascii="Times New Roman" w:hAnsi="Times New Roman" w:cs="Times New Roman"/>
          <w:i/>
          <w:iCs/>
          <w:noProof/>
          <w:sz w:val="24"/>
          <w:szCs w:val="24"/>
        </w:rPr>
        <w:t>Journal of Population Economics</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26</w:t>
      </w:r>
      <w:r w:rsidRPr="00B9534E">
        <w:rPr>
          <w:rFonts w:ascii="Times New Roman" w:hAnsi="Times New Roman" w:cs="Times New Roman"/>
          <w:noProof/>
          <w:sz w:val="24"/>
          <w:szCs w:val="24"/>
        </w:rPr>
        <w:t>(1), 147–180.</w:t>
      </w:r>
    </w:p>
    <w:p w14:paraId="7AA4138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Ross, K. L., Zereyesus, Y. A., Shanoyan, A., &amp; Amanor-Boadu, V. (2015). The Health Effects of Women Empowerment: Recent Evidence from Northern Ghana. In </w:t>
      </w:r>
      <w:r w:rsidRPr="00B9534E">
        <w:rPr>
          <w:rFonts w:ascii="Times New Roman" w:hAnsi="Times New Roman" w:cs="Times New Roman"/>
          <w:i/>
          <w:iCs/>
          <w:noProof/>
          <w:sz w:val="24"/>
          <w:szCs w:val="24"/>
        </w:rPr>
        <w:t>International Food and Agribusiness Management Review</w:t>
      </w:r>
      <w:r w:rsidRPr="00B9534E">
        <w:rPr>
          <w:rFonts w:ascii="Times New Roman" w:hAnsi="Times New Roman" w:cs="Times New Roman"/>
          <w:noProof/>
          <w:sz w:val="24"/>
          <w:szCs w:val="24"/>
        </w:rPr>
        <w:t xml:space="preserve"> (Vol. 18).</w:t>
      </w:r>
    </w:p>
    <w:p w14:paraId="038DBE72"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Seymour, G., &amp; Peterman, A. (2018). Context and measurement : An analysis of the relationship between intrahousehold decision making and autonomy. </w:t>
      </w:r>
      <w:r w:rsidRPr="00B9534E">
        <w:rPr>
          <w:rFonts w:ascii="Times New Roman" w:hAnsi="Times New Roman" w:cs="Times New Roman"/>
          <w:i/>
          <w:iCs/>
          <w:noProof/>
          <w:sz w:val="24"/>
          <w:szCs w:val="24"/>
        </w:rPr>
        <w:t>World Development</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111</w:t>
      </w:r>
      <w:r w:rsidRPr="00B9534E">
        <w:rPr>
          <w:rFonts w:ascii="Times New Roman" w:hAnsi="Times New Roman" w:cs="Times New Roman"/>
          <w:noProof/>
          <w:sz w:val="24"/>
          <w:szCs w:val="24"/>
        </w:rPr>
        <w:t>, 97–112.</w:t>
      </w:r>
    </w:p>
    <w:p w14:paraId="6FCFC8E5"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lastRenderedPageBreak/>
        <w:t xml:space="preserve">Smith, L. C., Ramakrishnan, U., Ndiaye, A., Haddad, L., &amp; Martorell, R. (2002). </w:t>
      </w:r>
      <w:r w:rsidRPr="00B9534E">
        <w:rPr>
          <w:rFonts w:ascii="Times New Roman" w:hAnsi="Times New Roman" w:cs="Times New Roman"/>
          <w:i/>
          <w:iCs/>
          <w:noProof/>
          <w:sz w:val="24"/>
          <w:szCs w:val="24"/>
        </w:rPr>
        <w:t>The Importance of Women’s Status for Child Nutrition in Developing Countries</w:t>
      </w:r>
      <w:r w:rsidRPr="00B9534E">
        <w:rPr>
          <w:rFonts w:ascii="Times New Roman" w:hAnsi="Times New Roman" w:cs="Times New Roman"/>
          <w:noProof/>
          <w:sz w:val="24"/>
          <w:szCs w:val="24"/>
        </w:rPr>
        <w:t>.</w:t>
      </w:r>
    </w:p>
    <w:p w14:paraId="115ADCD9"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Smith, L., Fisher, A., &amp; Hamer, M. (2015). Television viewing time and risk of incident obesity and central obesity: the English longitudinal study of ageing. </w:t>
      </w:r>
      <w:r w:rsidRPr="00B9534E">
        <w:rPr>
          <w:rFonts w:ascii="Times New Roman" w:hAnsi="Times New Roman" w:cs="Times New Roman"/>
          <w:i/>
          <w:iCs/>
          <w:noProof/>
          <w:sz w:val="24"/>
          <w:szCs w:val="24"/>
        </w:rPr>
        <w:t>BMC Obesity</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2</w:t>
      </w:r>
      <w:r w:rsidRPr="00B9534E">
        <w:rPr>
          <w:rFonts w:ascii="Times New Roman" w:hAnsi="Times New Roman" w:cs="Times New Roman"/>
          <w:noProof/>
          <w:sz w:val="24"/>
          <w:szCs w:val="24"/>
        </w:rPr>
        <w:t>(1), 12.</w:t>
      </w:r>
    </w:p>
    <w:p w14:paraId="65D73AC9"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Solomon, C. G., &amp; Manson, J. E. (1997). Obesity and mortality: a review of the epidemiologic data. </w:t>
      </w:r>
      <w:r w:rsidRPr="00B9534E">
        <w:rPr>
          <w:rFonts w:ascii="Times New Roman" w:hAnsi="Times New Roman" w:cs="Times New Roman"/>
          <w:i/>
          <w:iCs/>
          <w:noProof/>
          <w:sz w:val="24"/>
          <w:szCs w:val="24"/>
        </w:rPr>
        <w:t>The American Journal of Clinical Nutrition</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66</w:t>
      </w:r>
      <w:r w:rsidRPr="00B9534E">
        <w:rPr>
          <w:rFonts w:ascii="Times New Roman" w:hAnsi="Times New Roman" w:cs="Times New Roman"/>
          <w:noProof/>
          <w:sz w:val="24"/>
          <w:szCs w:val="24"/>
        </w:rPr>
        <w:t>(4), 1044S-1050S.</w:t>
      </w:r>
    </w:p>
    <w:p w14:paraId="0CF71594"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szCs w:val="24"/>
        </w:rPr>
      </w:pPr>
      <w:r w:rsidRPr="00B9534E">
        <w:rPr>
          <w:rFonts w:ascii="Times New Roman" w:hAnsi="Times New Roman" w:cs="Times New Roman"/>
          <w:noProof/>
          <w:sz w:val="24"/>
          <w:szCs w:val="24"/>
        </w:rPr>
        <w:t xml:space="preserve">WHO Expert Consultation. (2004). Appropriate body-mass index for Asian populations and its implications for policy and intervention strategies. </w:t>
      </w:r>
      <w:r w:rsidRPr="00B9534E">
        <w:rPr>
          <w:rFonts w:ascii="Times New Roman" w:hAnsi="Times New Roman" w:cs="Times New Roman"/>
          <w:i/>
          <w:iCs/>
          <w:noProof/>
          <w:sz w:val="24"/>
          <w:szCs w:val="24"/>
        </w:rPr>
        <w:t>The Lancet</w:t>
      </w:r>
      <w:r w:rsidRPr="00B9534E">
        <w:rPr>
          <w:rFonts w:ascii="Times New Roman" w:hAnsi="Times New Roman" w:cs="Times New Roman"/>
          <w:noProof/>
          <w:sz w:val="24"/>
          <w:szCs w:val="24"/>
        </w:rPr>
        <w:t xml:space="preserve">, </w:t>
      </w:r>
      <w:r w:rsidRPr="00B9534E">
        <w:rPr>
          <w:rFonts w:ascii="Times New Roman" w:hAnsi="Times New Roman" w:cs="Times New Roman"/>
          <w:i/>
          <w:iCs/>
          <w:noProof/>
          <w:sz w:val="24"/>
          <w:szCs w:val="24"/>
        </w:rPr>
        <w:t>363</w:t>
      </w:r>
      <w:r w:rsidRPr="00B9534E">
        <w:rPr>
          <w:rFonts w:ascii="Times New Roman" w:hAnsi="Times New Roman" w:cs="Times New Roman"/>
          <w:noProof/>
          <w:sz w:val="24"/>
          <w:szCs w:val="24"/>
        </w:rPr>
        <w:t>(9403), 157–163.</w:t>
      </w:r>
    </w:p>
    <w:p w14:paraId="7E037919" w14:textId="77777777" w:rsidR="00B9534E" w:rsidRPr="00B9534E" w:rsidRDefault="00B9534E" w:rsidP="00B9534E">
      <w:pPr>
        <w:widowControl w:val="0"/>
        <w:autoSpaceDE w:val="0"/>
        <w:autoSpaceDN w:val="0"/>
        <w:adjustRightInd w:val="0"/>
        <w:spacing w:line="360" w:lineRule="auto"/>
        <w:ind w:left="480" w:hanging="480"/>
        <w:rPr>
          <w:rFonts w:ascii="Times New Roman" w:hAnsi="Times New Roman" w:cs="Times New Roman"/>
          <w:noProof/>
          <w:sz w:val="24"/>
        </w:rPr>
      </w:pPr>
      <w:r w:rsidRPr="00B9534E">
        <w:rPr>
          <w:rFonts w:ascii="Times New Roman" w:hAnsi="Times New Roman" w:cs="Times New Roman"/>
          <w:noProof/>
          <w:sz w:val="24"/>
          <w:szCs w:val="24"/>
        </w:rPr>
        <w:t xml:space="preserve">World Health Organization. (2000). </w:t>
      </w:r>
      <w:r w:rsidRPr="00B9534E">
        <w:rPr>
          <w:rFonts w:ascii="Times New Roman" w:hAnsi="Times New Roman" w:cs="Times New Roman"/>
          <w:i/>
          <w:iCs/>
          <w:noProof/>
          <w:sz w:val="24"/>
          <w:szCs w:val="24"/>
        </w:rPr>
        <w:t>Obesity : preventing and managing the global epidemic : report of a WHO consultation.</w:t>
      </w:r>
      <w:r w:rsidRPr="00B9534E">
        <w:rPr>
          <w:rFonts w:ascii="Times New Roman" w:hAnsi="Times New Roman" w:cs="Times New Roman"/>
          <w:noProof/>
          <w:sz w:val="24"/>
          <w:szCs w:val="24"/>
        </w:rPr>
        <w:t xml:space="preserve"> World Health Organization.</w:t>
      </w:r>
    </w:p>
    <w:p w14:paraId="6649A5F9" w14:textId="77777777" w:rsidR="006945B8" w:rsidRDefault="009C3558" w:rsidP="0071754E">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end"/>
      </w:r>
    </w:p>
    <w:p w14:paraId="32711EE5" w14:textId="77777777" w:rsidR="006945B8" w:rsidRDefault="006945B8" w:rsidP="006945B8">
      <w:pPr>
        <w:spacing w:line="259" w:lineRule="auto"/>
        <w:rPr>
          <w:rFonts w:ascii="Times New Roman" w:hAnsi="Times New Roman" w:cs="Times New Roman"/>
          <w:color w:val="FF0000"/>
          <w:sz w:val="24"/>
          <w:szCs w:val="24"/>
        </w:rPr>
      </w:pPr>
    </w:p>
    <w:p w14:paraId="38BAFE13" w14:textId="77777777" w:rsidR="006945B8" w:rsidRDefault="006945B8">
      <w:pPr>
        <w:spacing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8B1F24B" w14:textId="77777777" w:rsidR="0078010B" w:rsidRDefault="006945B8" w:rsidP="006945B8">
      <w:pPr>
        <w:spacing w:line="259" w:lineRule="auto"/>
        <w:rPr>
          <w:rFonts w:ascii="Times New Roman" w:hAnsi="Times New Roman" w:cs="Times New Roman"/>
          <w:b/>
          <w:sz w:val="24"/>
          <w:szCs w:val="24"/>
        </w:rPr>
      </w:pPr>
      <w:r>
        <w:rPr>
          <w:noProof/>
        </w:rPr>
        <w:lastRenderedPageBreak/>
        <w:drawing>
          <wp:anchor distT="0" distB="0" distL="114300" distR="114300" simplePos="0" relativeHeight="251668480" behindDoc="0" locked="0" layoutInCell="1" allowOverlap="1" wp14:anchorId="631F2EFB" wp14:editId="3E5A4EE4">
            <wp:simplePos x="0" y="0"/>
            <wp:positionH relativeFrom="column">
              <wp:posOffset>-315507</wp:posOffset>
            </wp:positionH>
            <wp:positionV relativeFrom="paragraph">
              <wp:posOffset>1047115</wp:posOffset>
            </wp:positionV>
            <wp:extent cx="2898140" cy="3002280"/>
            <wp:effectExtent l="0" t="0" r="0" b="7620"/>
            <wp:wrapThrough wrapText="bothSides">
              <wp:wrapPolygon edited="0">
                <wp:start x="0" y="0"/>
                <wp:lineTo x="0" y="21518"/>
                <wp:lineTo x="21439" y="21518"/>
                <wp:lineTo x="214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140" cy="3002280"/>
                    </a:xfrm>
                    <a:prstGeom prst="rect">
                      <a:avLst/>
                    </a:prstGeom>
                    <a:noFill/>
                  </pic:spPr>
                </pic:pic>
              </a:graphicData>
            </a:graphic>
            <wp14:sizeRelH relativeFrom="margin">
              <wp14:pctWidth>0</wp14:pctWidth>
            </wp14:sizeRelH>
            <wp14:sizeRelV relativeFrom="margin">
              <wp14:pctHeight>0</wp14:pctHeight>
            </wp14:sizeRelV>
          </wp:anchor>
        </w:drawing>
      </w:r>
      <w:r w:rsidRPr="006945B8">
        <w:rPr>
          <w:rFonts w:ascii="Times New Roman" w:hAnsi="Times New Roman" w:cs="Times New Roman"/>
          <w:b/>
          <w:sz w:val="24"/>
          <w:szCs w:val="24"/>
        </w:rPr>
        <w:t>Appendix</w:t>
      </w:r>
    </w:p>
    <w:p w14:paraId="5DA92DD1" w14:textId="77777777" w:rsidR="006945B8" w:rsidRDefault="006945B8" w:rsidP="006945B8">
      <w:pPr>
        <w:spacing w:line="259" w:lineRule="auto"/>
        <w:rPr>
          <w:rFonts w:ascii="Times New Roman" w:hAnsi="Times New Roman" w:cs="Times New Roman"/>
          <w:b/>
          <w:sz w:val="24"/>
          <w:szCs w:val="24"/>
        </w:rPr>
      </w:pPr>
    </w:p>
    <w:p w14:paraId="3E4F8D75" w14:textId="77777777" w:rsidR="006945B8" w:rsidRDefault="00B102F1" w:rsidP="006945B8">
      <w:pPr>
        <w:spacing w:line="259" w:lineRule="auto"/>
        <w:rPr>
          <w:rFonts w:ascii="Times New Roman" w:hAnsi="Times New Roman" w:cs="Times New Roman"/>
          <w:b/>
          <w:sz w:val="24"/>
          <w:szCs w:val="24"/>
        </w:rPr>
      </w:pPr>
      <w:r>
        <w:rPr>
          <w:noProof/>
        </w:rPr>
        <w:drawing>
          <wp:anchor distT="0" distB="0" distL="114300" distR="114300" simplePos="0" relativeHeight="251667456" behindDoc="0" locked="0" layoutInCell="1" allowOverlap="1" wp14:anchorId="29915666" wp14:editId="47AC4B2A">
            <wp:simplePos x="0" y="0"/>
            <wp:positionH relativeFrom="page">
              <wp:posOffset>3968115</wp:posOffset>
            </wp:positionH>
            <wp:positionV relativeFrom="paragraph">
              <wp:posOffset>502373</wp:posOffset>
            </wp:positionV>
            <wp:extent cx="2898140" cy="3002280"/>
            <wp:effectExtent l="0" t="0" r="0" b="7620"/>
            <wp:wrapThrough wrapText="bothSides">
              <wp:wrapPolygon edited="0">
                <wp:start x="0" y="0"/>
                <wp:lineTo x="0" y="21518"/>
                <wp:lineTo x="21439" y="21518"/>
                <wp:lineTo x="2143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140" cy="3002280"/>
                    </a:xfrm>
                    <a:prstGeom prst="rect">
                      <a:avLst/>
                    </a:prstGeom>
                    <a:noFill/>
                  </pic:spPr>
                </pic:pic>
              </a:graphicData>
            </a:graphic>
            <wp14:sizeRelH relativeFrom="margin">
              <wp14:pctWidth>0</wp14:pctWidth>
            </wp14:sizeRelH>
            <wp14:sizeRelV relativeFrom="margin">
              <wp14:pctHeight>0</wp14:pctHeight>
            </wp14:sizeRelV>
          </wp:anchor>
        </w:drawing>
      </w:r>
      <w:r w:rsidR="006945B8">
        <w:rPr>
          <w:rFonts w:ascii="Times New Roman" w:hAnsi="Times New Roman" w:cs="Times New Roman"/>
          <w:b/>
          <w:sz w:val="24"/>
          <w:szCs w:val="24"/>
        </w:rPr>
        <w:t>Figure A1: Overweight/obesity in districts of rural India in 2015-16 (in %)</w:t>
      </w:r>
    </w:p>
    <w:p w14:paraId="0CF295E0" w14:textId="77777777" w:rsidR="00B102F1" w:rsidRDefault="00B102F1" w:rsidP="006945B8">
      <w:pPr>
        <w:spacing w:line="259" w:lineRule="auto"/>
        <w:rPr>
          <w:rFonts w:ascii="Times New Roman" w:hAnsi="Times New Roman" w:cs="Times New Roman"/>
          <w:b/>
          <w:sz w:val="24"/>
          <w:szCs w:val="24"/>
        </w:rPr>
      </w:pPr>
    </w:p>
    <w:p w14:paraId="516C7A15" w14:textId="77777777" w:rsidR="00B102F1" w:rsidRDefault="00B102F1" w:rsidP="006945B8">
      <w:pPr>
        <w:spacing w:line="259" w:lineRule="auto"/>
        <w:rPr>
          <w:rFonts w:ascii="Times New Roman" w:hAnsi="Times New Roman" w:cs="Times New Roman"/>
          <w:b/>
          <w:sz w:val="24"/>
          <w:szCs w:val="24"/>
        </w:rPr>
      </w:pPr>
    </w:p>
    <w:p w14:paraId="49944AF3" w14:textId="77777777" w:rsidR="00B102F1" w:rsidRDefault="00B102F1" w:rsidP="006945B8">
      <w:pPr>
        <w:spacing w:line="259" w:lineRule="auto"/>
        <w:rPr>
          <w:rFonts w:ascii="Times New Roman" w:hAnsi="Times New Roman" w:cs="Times New Roman"/>
          <w:b/>
          <w:sz w:val="24"/>
          <w:szCs w:val="24"/>
        </w:rPr>
      </w:pPr>
    </w:p>
    <w:p w14:paraId="590C2584" w14:textId="77777777" w:rsidR="00B102F1" w:rsidRDefault="00B102F1" w:rsidP="006945B8">
      <w:pPr>
        <w:spacing w:line="259" w:lineRule="auto"/>
        <w:rPr>
          <w:rFonts w:ascii="Times New Roman" w:hAnsi="Times New Roman" w:cs="Times New Roman"/>
          <w:b/>
          <w:sz w:val="24"/>
          <w:szCs w:val="24"/>
        </w:rPr>
      </w:pPr>
    </w:p>
    <w:p w14:paraId="42081F9B" w14:textId="77777777" w:rsidR="00B102F1" w:rsidRDefault="00B102F1" w:rsidP="006945B8">
      <w:pPr>
        <w:spacing w:line="259" w:lineRule="auto"/>
        <w:rPr>
          <w:rFonts w:ascii="Times New Roman" w:hAnsi="Times New Roman" w:cs="Times New Roman"/>
          <w:b/>
          <w:sz w:val="24"/>
          <w:szCs w:val="24"/>
        </w:rPr>
      </w:pPr>
    </w:p>
    <w:p w14:paraId="4CB1514E" w14:textId="77777777" w:rsidR="00B102F1" w:rsidRDefault="00B102F1" w:rsidP="006945B8">
      <w:pPr>
        <w:spacing w:line="259" w:lineRule="auto"/>
        <w:rPr>
          <w:rFonts w:ascii="Times New Roman" w:hAnsi="Times New Roman" w:cs="Times New Roman"/>
          <w:b/>
          <w:sz w:val="24"/>
          <w:szCs w:val="24"/>
        </w:rPr>
      </w:pPr>
    </w:p>
    <w:p w14:paraId="4988E890" w14:textId="77777777" w:rsidR="00B102F1" w:rsidRDefault="00B102F1" w:rsidP="006945B8">
      <w:pPr>
        <w:spacing w:line="259" w:lineRule="auto"/>
        <w:rPr>
          <w:rFonts w:ascii="Times New Roman" w:hAnsi="Times New Roman" w:cs="Times New Roman"/>
          <w:b/>
          <w:sz w:val="24"/>
          <w:szCs w:val="24"/>
        </w:rPr>
      </w:pPr>
    </w:p>
    <w:p w14:paraId="244EC43D" w14:textId="77777777" w:rsidR="00B102F1" w:rsidRDefault="00B102F1" w:rsidP="006945B8">
      <w:pPr>
        <w:spacing w:line="259" w:lineRule="auto"/>
        <w:rPr>
          <w:rFonts w:ascii="Times New Roman" w:hAnsi="Times New Roman" w:cs="Times New Roman"/>
          <w:b/>
          <w:sz w:val="24"/>
          <w:szCs w:val="24"/>
        </w:rPr>
      </w:pPr>
    </w:p>
    <w:p w14:paraId="7CCB2F86" w14:textId="77777777" w:rsidR="00B102F1" w:rsidRDefault="00B102F1" w:rsidP="006945B8">
      <w:pPr>
        <w:spacing w:line="259" w:lineRule="auto"/>
        <w:rPr>
          <w:rFonts w:ascii="Times New Roman" w:hAnsi="Times New Roman" w:cs="Times New Roman"/>
          <w:b/>
          <w:sz w:val="24"/>
          <w:szCs w:val="24"/>
        </w:rPr>
      </w:pPr>
    </w:p>
    <w:p w14:paraId="19EB1FF1" w14:textId="77777777" w:rsidR="00B102F1" w:rsidRDefault="00B102F1" w:rsidP="006945B8">
      <w:pPr>
        <w:spacing w:line="259" w:lineRule="auto"/>
        <w:rPr>
          <w:rFonts w:ascii="Times New Roman" w:hAnsi="Times New Roman" w:cs="Times New Roman"/>
          <w:b/>
          <w:sz w:val="24"/>
          <w:szCs w:val="24"/>
        </w:rPr>
      </w:pPr>
    </w:p>
    <w:p w14:paraId="6C35288E" w14:textId="77777777" w:rsidR="00B102F1" w:rsidRDefault="00B102F1" w:rsidP="006945B8">
      <w:pPr>
        <w:spacing w:line="259" w:lineRule="auto"/>
        <w:rPr>
          <w:rFonts w:ascii="Times New Roman" w:hAnsi="Times New Roman" w:cs="Times New Roman"/>
          <w:b/>
          <w:sz w:val="24"/>
          <w:szCs w:val="24"/>
        </w:rPr>
      </w:pPr>
    </w:p>
    <w:p w14:paraId="4E61BEC7" w14:textId="77777777" w:rsidR="00B102F1" w:rsidRDefault="00B102F1" w:rsidP="006945B8">
      <w:pPr>
        <w:spacing w:line="259" w:lineRule="auto"/>
        <w:rPr>
          <w:rFonts w:ascii="Times New Roman" w:hAnsi="Times New Roman" w:cs="Times New Roman"/>
          <w:b/>
          <w:sz w:val="24"/>
          <w:szCs w:val="24"/>
        </w:rPr>
      </w:pPr>
    </w:p>
    <w:p w14:paraId="16E0C76A" w14:textId="77777777" w:rsidR="00B102F1" w:rsidRDefault="00B102F1" w:rsidP="006945B8">
      <w:pPr>
        <w:spacing w:line="259" w:lineRule="auto"/>
        <w:rPr>
          <w:rFonts w:ascii="Times New Roman" w:hAnsi="Times New Roman" w:cs="Times New Roman"/>
          <w:b/>
          <w:sz w:val="24"/>
          <w:szCs w:val="24"/>
        </w:rPr>
      </w:pPr>
    </w:p>
    <w:p w14:paraId="484EEF4B" w14:textId="77777777" w:rsidR="00B102F1" w:rsidRDefault="00B102F1" w:rsidP="006945B8">
      <w:pPr>
        <w:spacing w:line="259" w:lineRule="auto"/>
        <w:rPr>
          <w:rFonts w:ascii="Times New Roman" w:hAnsi="Times New Roman" w:cs="Times New Roman"/>
          <w:b/>
          <w:sz w:val="24"/>
          <w:szCs w:val="24"/>
        </w:rPr>
      </w:pPr>
    </w:p>
    <w:p w14:paraId="173EFC85" w14:textId="77777777" w:rsidR="00B102F1" w:rsidRPr="006945B8" w:rsidRDefault="00B102F1" w:rsidP="006945B8">
      <w:pPr>
        <w:spacing w:line="259" w:lineRule="auto"/>
        <w:rPr>
          <w:rFonts w:ascii="Times New Roman" w:hAnsi="Times New Roman" w:cs="Times New Roman"/>
          <w:b/>
          <w:sz w:val="24"/>
          <w:szCs w:val="24"/>
        </w:rPr>
      </w:pPr>
      <w:r>
        <w:rPr>
          <w:noProof/>
        </w:rPr>
        <w:drawing>
          <wp:anchor distT="0" distB="0" distL="114300" distR="114300" simplePos="0" relativeHeight="251665408" behindDoc="0" locked="0" layoutInCell="1" allowOverlap="1" wp14:anchorId="37CC685E" wp14:editId="37CCBD62">
            <wp:simplePos x="0" y="0"/>
            <wp:positionH relativeFrom="page">
              <wp:posOffset>3968443</wp:posOffset>
            </wp:positionH>
            <wp:positionV relativeFrom="paragraph">
              <wp:posOffset>590725</wp:posOffset>
            </wp:positionV>
            <wp:extent cx="2898140" cy="3002280"/>
            <wp:effectExtent l="0" t="0" r="0" b="7620"/>
            <wp:wrapThrough wrapText="bothSides">
              <wp:wrapPolygon edited="0">
                <wp:start x="0" y="0"/>
                <wp:lineTo x="0" y="21518"/>
                <wp:lineTo x="21439" y="21518"/>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140" cy="30022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48A2D45" wp14:editId="03F793A6">
            <wp:simplePos x="0" y="0"/>
            <wp:positionH relativeFrom="column">
              <wp:posOffset>-346491</wp:posOffset>
            </wp:positionH>
            <wp:positionV relativeFrom="paragraph">
              <wp:posOffset>558866</wp:posOffset>
            </wp:positionV>
            <wp:extent cx="2898140" cy="3002280"/>
            <wp:effectExtent l="0" t="0" r="0" b="7620"/>
            <wp:wrapThrough wrapText="bothSides">
              <wp:wrapPolygon edited="0">
                <wp:start x="0" y="0"/>
                <wp:lineTo x="0" y="21518"/>
                <wp:lineTo x="21439" y="21518"/>
                <wp:lineTo x="214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140" cy="30022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Figure A2: Overweight/obesity in districts of urban India in 2015-16 (in %)</w:t>
      </w:r>
    </w:p>
    <w:sectPr w:rsidR="00B102F1" w:rsidRPr="006945B8" w:rsidSect="006945B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11375" w14:textId="77777777" w:rsidR="00FF3D14" w:rsidRDefault="00FF3D14">
      <w:pPr>
        <w:spacing w:after="0" w:line="240" w:lineRule="auto"/>
      </w:pPr>
      <w:r>
        <w:separator/>
      </w:r>
    </w:p>
  </w:endnote>
  <w:endnote w:type="continuationSeparator" w:id="0">
    <w:p w14:paraId="66B688C4" w14:textId="77777777" w:rsidR="00FF3D14" w:rsidRDefault="00FF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880986"/>
      <w:docPartObj>
        <w:docPartGallery w:val="Page Numbers (Bottom of Page)"/>
        <w:docPartUnique/>
      </w:docPartObj>
    </w:sdtPr>
    <w:sdtEndPr>
      <w:rPr>
        <w:noProof/>
      </w:rPr>
    </w:sdtEndPr>
    <w:sdtContent>
      <w:p w14:paraId="2236BE13" w14:textId="77777777" w:rsidR="00EC0305" w:rsidRDefault="00EC03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6B0E0" w14:textId="77777777" w:rsidR="00EC0305" w:rsidRDefault="00EC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CC2A" w14:textId="77777777" w:rsidR="00FF3D14" w:rsidRDefault="00FF3D14">
      <w:pPr>
        <w:spacing w:after="0" w:line="240" w:lineRule="auto"/>
      </w:pPr>
      <w:r>
        <w:separator/>
      </w:r>
    </w:p>
  </w:footnote>
  <w:footnote w:type="continuationSeparator" w:id="0">
    <w:p w14:paraId="6DEA44B3" w14:textId="77777777" w:rsidR="00FF3D14" w:rsidRDefault="00FF3D14">
      <w:pPr>
        <w:spacing w:after="0" w:line="240" w:lineRule="auto"/>
      </w:pPr>
      <w:r>
        <w:continuationSeparator/>
      </w:r>
    </w:p>
  </w:footnote>
  <w:footnote w:id="1">
    <w:p w14:paraId="36906206" w14:textId="77777777" w:rsidR="00EC0305" w:rsidRPr="00835BDC" w:rsidRDefault="00EC0305" w:rsidP="00835BDC">
      <w:pPr>
        <w:pStyle w:val="FootnoteText"/>
        <w:jc w:val="both"/>
        <w:rPr>
          <w:lang w:val="en-US"/>
        </w:rPr>
      </w:pPr>
      <w:r>
        <w:rPr>
          <w:rStyle w:val="FootnoteReference"/>
        </w:rPr>
        <w:footnoteRef/>
      </w:r>
      <w:r>
        <w:t xml:space="preserve"> </w:t>
      </w:r>
      <w:r w:rsidRPr="00835BDC">
        <w:t xml:space="preserve">Women who give birth to girls </w:t>
      </w:r>
      <w:r>
        <w:t>are also found to show</w:t>
      </w:r>
      <w:r w:rsidRPr="00835BDC">
        <w:t xml:space="preserve"> fertility behaviours</w:t>
      </w:r>
      <w:r>
        <w:t xml:space="preserve"> —</w:t>
      </w:r>
      <w:r w:rsidRPr="00835BDC">
        <w:t xml:space="preserve"> like </w:t>
      </w:r>
      <w:r w:rsidRPr="007C2491">
        <w:t>repeated and closely spaced pregnancies in attempts to have a son</w:t>
      </w:r>
      <w:r>
        <w:t xml:space="preserve"> —</w:t>
      </w:r>
      <w:r w:rsidRPr="00835BDC">
        <w:t xml:space="preserve"> which hurt their health and survival </w:t>
      </w:r>
      <w:r>
        <w:t>(</w:t>
      </w:r>
      <w:r w:rsidRPr="00835BDC">
        <w:t>Milazzo 2018).</w:t>
      </w:r>
    </w:p>
  </w:footnote>
  <w:footnote w:id="2">
    <w:p w14:paraId="5C0D3E12" w14:textId="77777777" w:rsidR="00EC0305" w:rsidRPr="00E40471" w:rsidRDefault="00EC0305" w:rsidP="0010624F">
      <w:pPr>
        <w:pStyle w:val="FootnoteText"/>
        <w:jc w:val="both"/>
        <w:rPr>
          <w:b/>
          <w:bCs/>
          <w:lang w:val="en-US"/>
        </w:rPr>
      </w:pPr>
      <w:r>
        <w:rPr>
          <w:rStyle w:val="FootnoteReference"/>
        </w:rPr>
        <w:footnoteRef/>
      </w:r>
      <w:r>
        <w:t xml:space="preserve"> </w:t>
      </w:r>
      <w:r w:rsidRPr="0010624F">
        <w:t xml:space="preserve">We are aware that there might be other mechanisms at work and </w:t>
      </w:r>
      <w:r>
        <w:t xml:space="preserve">believe </w:t>
      </w:r>
      <w:r w:rsidRPr="0010624F">
        <w:t>this</w:t>
      </w:r>
      <w:r>
        <w:t xml:space="preserve"> topic</w:t>
      </w:r>
      <w:r w:rsidRPr="0010624F">
        <w:t xml:space="preserve"> merit</w:t>
      </w:r>
      <w:r>
        <w:t>s</w:t>
      </w:r>
      <w:r w:rsidRPr="0010624F">
        <w:t xml:space="preserve"> further research </w:t>
      </w:r>
      <w:r>
        <w:t>facilitated by data on time-use.</w:t>
      </w:r>
    </w:p>
  </w:footnote>
  <w:footnote w:id="3">
    <w:p w14:paraId="031313BB" w14:textId="77777777" w:rsidR="00EC0305" w:rsidRPr="00E40471" w:rsidRDefault="00EC0305" w:rsidP="00E40471">
      <w:pPr>
        <w:pStyle w:val="FootnoteText"/>
        <w:jc w:val="both"/>
        <w:rPr>
          <w:lang w:val="en-US"/>
        </w:rPr>
      </w:pPr>
      <w:r>
        <w:rPr>
          <w:rStyle w:val="FootnoteReference"/>
        </w:rPr>
        <w:footnoteRef/>
      </w:r>
      <w:r>
        <w:t xml:space="preserve"> </w:t>
      </w:r>
      <w:r w:rsidRPr="00463C53">
        <w:t>The two surveys, NFHS-4 and NSS-CES were not conducted at the same time</w:t>
      </w:r>
      <w:r>
        <w:t>, but 2011-12 is the latest year for which NSS-CES data is available. Thus, we assume</w:t>
      </w:r>
      <w:r w:rsidRPr="00463C53">
        <w:t xml:space="preserve"> </w:t>
      </w:r>
      <w:r>
        <w:t>t</w:t>
      </w:r>
      <w:r w:rsidRPr="00463C53">
        <w:t>hat the patterns in eating ou</w:t>
      </w:r>
      <w:r>
        <w:t>t</w:t>
      </w:r>
      <w:r w:rsidRPr="00463C53">
        <w:t xml:space="preserve"> have</w:t>
      </w:r>
      <w:r>
        <w:t xml:space="preserve"> not</w:t>
      </w:r>
      <w:r w:rsidRPr="00463C53">
        <w:t xml:space="preserve"> changed sharply in the 4-5 intervening years.</w:t>
      </w:r>
    </w:p>
  </w:footnote>
  <w:footnote w:id="4">
    <w:p w14:paraId="57E1D46A" w14:textId="77777777" w:rsidR="00EC0305" w:rsidRPr="00D62D8F" w:rsidRDefault="00EC0305" w:rsidP="000F7F44">
      <w:pPr>
        <w:pStyle w:val="FootnoteText"/>
        <w:jc w:val="both"/>
        <w:rPr>
          <w:lang w:val="en-US"/>
        </w:rPr>
      </w:pPr>
      <w:r>
        <w:rPr>
          <w:rStyle w:val="FootnoteReference"/>
        </w:rPr>
        <w:footnoteRef/>
      </w:r>
      <w:r>
        <w:t xml:space="preserve"> Marrying at a young age is also associated with lower intrahousehold status in socio-economic literature </w:t>
      </w:r>
      <w:r>
        <w:fldChar w:fldCharType="begin" w:fldLock="1"/>
      </w:r>
      <w:r>
        <w:instrText>ADDIN CSL_CITATION {"citationItems":[{"id":"ITEM-1","itemData":{"DOI":"10.2307/4414645","ISSN":"00129976","abstract":"JSTOR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14.139.245.68 on Thu, 03 Sep 2015 08:47:42 UTC All use subject to JSTOR Terms and Conditions","author":[{"dropping-particle":"","family":"Kishor","given":"S","non-dropping-particle":"","parse-names":false,"suffix":""},{"dropping-particle":"","family":"Gupta","given":"K","non-dropping-particle":"","parse-names":false,"suffix":""}],"container-title":"Economic and Political Weekly","id":"ITEM-1","issue":"7","issued":{"date-parts":[["2004"]]},"page":"694-712","title":"Women's empowerment in India and its states: evidence from the NFHS","type":"article-journal","volume":"39"},"uris":["http://www.mendeley.com/documents/?uuid=7bf28653-e191-314d-a478-29a108d2f1db"]}],"mendeley":{"formattedCitation":"(Kishor &amp; Gupta, 2004)","plainTextFormattedCitation":"(Kishor &amp; Gupta, 2004)","previouslyFormattedCitation":"(Kishor &amp; Gupta, 2004)"},"properties":{"noteIndex":0},"schema":"https://github.com/citation-style-language/schema/raw/master/csl-citation.json"}</w:instrText>
      </w:r>
      <w:r>
        <w:fldChar w:fldCharType="separate"/>
      </w:r>
      <w:r w:rsidRPr="00B16F86">
        <w:rPr>
          <w:noProof/>
        </w:rPr>
        <w:t>(Kishor &amp; Gupta, 2004)</w:t>
      </w:r>
      <w:r>
        <w:fldChar w:fldCharType="end"/>
      </w:r>
      <w:r>
        <w:t>.</w:t>
      </w:r>
      <w:r w:rsidRPr="00D62D8F">
        <w:t xml:space="preserve"> </w:t>
      </w:r>
      <w:r>
        <w:t xml:space="preserve">From the </w:t>
      </w:r>
      <w:r w:rsidRPr="00D62D8F">
        <w:t>sub-sample of ever-married women</w:t>
      </w:r>
      <w:r>
        <w:t xml:space="preserve"> in NFHS-4</w:t>
      </w:r>
      <w:r w:rsidRPr="00D62D8F">
        <w:t>,</w:t>
      </w:r>
      <w:r>
        <w:t xml:space="preserve"> we find that there is a positive </w:t>
      </w:r>
      <w:r w:rsidRPr="00D62D8F">
        <w:t xml:space="preserve">relationship </w:t>
      </w:r>
      <w:r>
        <w:t xml:space="preserve">between age at first marriage and probability of overweight/obesity </w:t>
      </w:r>
      <w:r w:rsidRPr="00D62D8F">
        <w:t>for the age range 0-35, after which there is a lot of noise in the data. The data on age at marriage in the NFHS</w:t>
      </w:r>
      <w:r>
        <w:t>-4</w:t>
      </w:r>
      <w:r w:rsidRPr="00D62D8F">
        <w:t xml:space="preserve"> also has negative value</w:t>
      </w:r>
      <w:r>
        <w:t>s</w:t>
      </w:r>
      <w:r w:rsidRPr="00D62D8F">
        <w:t>, possibly due to recall bias. Considering the high error margin in this variable, we do not present results from regressions. However, with no additional control variables, we find a positive and statistically significant relationship between age at first marriage and BMI.</w:t>
      </w:r>
    </w:p>
  </w:footnote>
  <w:footnote w:id="5">
    <w:p w14:paraId="30B20A12" w14:textId="77777777" w:rsidR="00EC0305" w:rsidRPr="006A3061" w:rsidRDefault="00EC0305" w:rsidP="000257DB">
      <w:pPr>
        <w:pStyle w:val="FootnoteText"/>
        <w:jc w:val="both"/>
        <w:rPr>
          <w:lang w:val="en-US"/>
        </w:rPr>
      </w:pPr>
      <w:r>
        <w:rPr>
          <w:rStyle w:val="FootnoteReference"/>
        </w:rPr>
        <w:footnoteRef/>
      </w:r>
      <w:r>
        <w:t xml:space="preserve"> </w:t>
      </w:r>
      <w:r w:rsidRPr="006A3061">
        <w:t>Using</w:t>
      </w:r>
      <w:r>
        <w:t xml:space="preserve"> information on education from the same</w:t>
      </w:r>
      <w:r w:rsidRPr="006A3061">
        <w:t xml:space="preserve"> NSS-CES data</w:t>
      </w:r>
      <w:r>
        <w:t>set</w:t>
      </w:r>
      <w:r w:rsidRPr="006A3061">
        <w:t>, we also find that more educated women are more likely to be eating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8B3"/>
    <w:multiLevelType w:val="hybridMultilevel"/>
    <w:tmpl w:val="A7AAAD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D837E3B"/>
    <w:multiLevelType w:val="multilevel"/>
    <w:tmpl w:val="D4183F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0E1706"/>
    <w:multiLevelType w:val="multilevel"/>
    <w:tmpl w:val="0A0A6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1sDQ2tjA0NzA0NDdR0lEKTi0uzszPAykwrAUAdcPwLiwAAAA="/>
  </w:docVars>
  <w:rsids>
    <w:rsidRoot w:val="009C3558"/>
    <w:rsid w:val="00004192"/>
    <w:rsid w:val="000047D2"/>
    <w:rsid w:val="00004C4B"/>
    <w:rsid w:val="00004D0A"/>
    <w:rsid w:val="0000600C"/>
    <w:rsid w:val="000062F9"/>
    <w:rsid w:val="000103F8"/>
    <w:rsid w:val="00010A2A"/>
    <w:rsid w:val="00012687"/>
    <w:rsid w:val="00014298"/>
    <w:rsid w:val="0001582B"/>
    <w:rsid w:val="00015B23"/>
    <w:rsid w:val="00015C5A"/>
    <w:rsid w:val="00015E64"/>
    <w:rsid w:val="000216C6"/>
    <w:rsid w:val="000257DB"/>
    <w:rsid w:val="00027BD7"/>
    <w:rsid w:val="000309A6"/>
    <w:rsid w:val="0003605F"/>
    <w:rsid w:val="00042294"/>
    <w:rsid w:val="00042B03"/>
    <w:rsid w:val="000435C2"/>
    <w:rsid w:val="000451B1"/>
    <w:rsid w:val="00046830"/>
    <w:rsid w:val="00046B60"/>
    <w:rsid w:val="000470F4"/>
    <w:rsid w:val="000500E9"/>
    <w:rsid w:val="0005089D"/>
    <w:rsid w:val="00052A6E"/>
    <w:rsid w:val="00052E58"/>
    <w:rsid w:val="00054658"/>
    <w:rsid w:val="00055084"/>
    <w:rsid w:val="00056988"/>
    <w:rsid w:val="0006067D"/>
    <w:rsid w:val="000606BD"/>
    <w:rsid w:val="00060A6B"/>
    <w:rsid w:val="00060BDC"/>
    <w:rsid w:val="000610AF"/>
    <w:rsid w:val="00061FC7"/>
    <w:rsid w:val="00063091"/>
    <w:rsid w:val="00063D35"/>
    <w:rsid w:val="00064C7C"/>
    <w:rsid w:val="000650A2"/>
    <w:rsid w:val="0006564B"/>
    <w:rsid w:val="00065923"/>
    <w:rsid w:val="00066100"/>
    <w:rsid w:val="00066974"/>
    <w:rsid w:val="0007129A"/>
    <w:rsid w:val="000714E8"/>
    <w:rsid w:val="00072251"/>
    <w:rsid w:val="00072A50"/>
    <w:rsid w:val="000740F9"/>
    <w:rsid w:val="000755FF"/>
    <w:rsid w:val="000763BE"/>
    <w:rsid w:val="00077A8C"/>
    <w:rsid w:val="00077FE3"/>
    <w:rsid w:val="0008134F"/>
    <w:rsid w:val="00081BE3"/>
    <w:rsid w:val="000849B8"/>
    <w:rsid w:val="00084CF4"/>
    <w:rsid w:val="00087B34"/>
    <w:rsid w:val="00090042"/>
    <w:rsid w:val="0009030C"/>
    <w:rsid w:val="00090380"/>
    <w:rsid w:val="0009040F"/>
    <w:rsid w:val="00090DA8"/>
    <w:rsid w:val="00090E65"/>
    <w:rsid w:val="00094C8D"/>
    <w:rsid w:val="00095E3A"/>
    <w:rsid w:val="00096DFF"/>
    <w:rsid w:val="00097638"/>
    <w:rsid w:val="000A0AD4"/>
    <w:rsid w:val="000A1474"/>
    <w:rsid w:val="000A5E84"/>
    <w:rsid w:val="000B1BF8"/>
    <w:rsid w:val="000B4F19"/>
    <w:rsid w:val="000B6C51"/>
    <w:rsid w:val="000C15DF"/>
    <w:rsid w:val="000C1AF6"/>
    <w:rsid w:val="000C27D9"/>
    <w:rsid w:val="000C2D33"/>
    <w:rsid w:val="000C30D7"/>
    <w:rsid w:val="000C7CA8"/>
    <w:rsid w:val="000D009C"/>
    <w:rsid w:val="000D1924"/>
    <w:rsid w:val="000D1CB5"/>
    <w:rsid w:val="000D20F9"/>
    <w:rsid w:val="000D269C"/>
    <w:rsid w:val="000D3285"/>
    <w:rsid w:val="000D5B4F"/>
    <w:rsid w:val="000E1432"/>
    <w:rsid w:val="000E2BF5"/>
    <w:rsid w:val="000E33F5"/>
    <w:rsid w:val="000F0C13"/>
    <w:rsid w:val="000F13EC"/>
    <w:rsid w:val="000F5411"/>
    <w:rsid w:val="000F5D66"/>
    <w:rsid w:val="000F7F44"/>
    <w:rsid w:val="00101E77"/>
    <w:rsid w:val="00102CCC"/>
    <w:rsid w:val="0010374F"/>
    <w:rsid w:val="00104D99"/>
    <w:rsid w:val="0010624F"/>
    <w:rsid w:val="00107321"/>
    <w:rsid w:val="00107361"/>
    <w:rsid w:val="00111805"/>
    <w:rsid w:val="00113DA1"/>
    <w:rsid w:val="00116000"/>
    <w:rsid w:val="00116F4D"/>
    <w:rsid w:val="00120AB1"/>
    <w:rsid w:val="00121719"/>
    <w:rsid w:val="00122341"/>
    <w:rsid w:val="00123BDE"/>
    <w:rsid w:val="0012567D"/>
    <w:rsid w:val="00125F42"/>
    <w:rsid w:val="00127A1F"/>
    <w:rsid w:val="00127F91"/>
    <w:rsid w:val="00132A85"/>
    <w:rsid w:val="0013426B"/>
    <w:rsid w:val="0013640C"/>
    <w:rsid w:val="00140C82"/>
    <w:rsid w:val="00141200"/>
    <w:rsid w:val="00141886"/>
    <w:rsid w:val="0014378D"/>
    <w:rsid w:val="00145766"/>
    <w:rsid w:val="00151020"/>
    <w:rsid w:val="001535A0"/>
    <w:rsid w:val="00155375"/>
    <w:rsid w:val="001564EA"/>
    <w:rsid w:val="00161546"/>
    <w:rsid w:val="00161C35"/>
    <w:rsid w:val="00161EFE"/>
    <w:rsid w:val="001659A8"/>
    <w:rsid w:val="00166B65"/>
    <w:rsid w:val="0017044D"/>
    <w:rsid w:val="001705CD"/>
    <w:rsid w:val="00172B51"/>
    <w:rsid w:val="00173D68"/>
    <w:rsid w:val="001775E2"/>
    <w:rsid w:val="0018076A"/>
    <w:rsid w:val="00180A1F"/>
    <w:rsid w:val="00180BD1"/>
    <w:rsid w:val="00181DD6"/>
    <w:rsid w:val="00182268"/>
    <w:rsid w:val="00183206"/>
    <w:rsid w:val="00184870"/>
    <w:rsid w:val="001863A1"/>
    <w:rsid w:val="001953AA"/>
    <w:rsid w:val="00197891"/>
    <w:rsid w:val="001A02AD"/>
    <w:rsid w:val="001A2808"/>
    <w:rsid w:val="001A2F1D"/>
    <w:rsid w:val="001A3908"/>
    <w:rsid w:val="001A7A25"/>
    <w:rsid w:val="001B153B"/>
    <w:rsid w:val="001B5008"/>
    <w:rsid w:val="001C3274"/>
    <w:rsid w:val="001C455E"/>
    <w:rsid w:val="001C6240"/>
    <w:rsid w:val="001C78A5"/>
    <w:rsid w:val="001D4572"/>
    <w:rsid w:val="001E03F6"/>
    <w:rsid w:val="001E126A"/>
    <w:rsid w:val="001E145C"/>
    <w:rsid w:val="001E167A"/>
    <w:rsid w:val="001E170C"/>
    <w:rsid w:val="001E60C4"/>
    <w:rsid w:val="001E719D"/>
    <w:rsid w:val="001F19D6"/>
    <w:rsid w:val="001F36E0"/>
    <w:rsid w:val="001F5A80"/>
    <w:rsid w:val="001F6AD6"/>
    <w:rsid w:val="00201779"/>
    <w:rsid w:val="0020266C"/>
    <w:rsid w:val="00202886"/>
    <w:rsid w:val="00202C3C"/>
    <w:rsid w:val="00202EDD"/>
    <w:rsid w:val="00203296"/>
    <w:rsid w:val="00203A09"/>
    <w:rsid w:val="00203A9C"/>
    <w:rsid w:val="00203B70"/>
    <w:rsid w:val="00205172"/>
    <w:rsid w:val="00205A42"/>
    <w:rsid w:val="00205F87"/>
    <w:rsid w:val="00206191"/>
    <w:rsid w:val="0020754F"/>
    <w:rsid w:val="002122C8"/>
    <w:rsid w:val="00213437"/>
    <w:rsid w:val="00214E43"/>
    <w:rsid w:val="002153CB"/>
    <w:rsid w:val="00215932"/>
    <w:rsid w:val="00215BFB"/>
    <w:rsid w:val="002177B5"/>
    <w:rsid w:val="002227FE"/>
    <w:rsid w:val="00223252"/>
    <w:rsid w:val="002252C1"/>
    <w:rsid w:val="002271C6"/>
    <w:rsid w:val="002308B3"/>
    <w:rsid w:val="00232D16"/>
    <w:rsid w:val="0023305E"/>
    <w:rsid w:val="002377D5"/>
    <w:rsid w:val="002418D3"/>
    <w:rsid w:val="0024287B"/>
    <w:rsid w:val="002464F2"/>
    <w:rsid w:val="00246DA1"/>
    <w:rsid w:val="00247451"/>
    <w:rsid w:val="00247C43"/>
    <w:rsid w:val="00251E04"/>
    <w:rsid w:val="00251FC0"/>
    <w:rsid w:val="00255619"/>
    <w:rsid w:val="002559A5"/>
    <w:rsid w:val="002576E8"/>
    <w:rsid w:val="002608A7"/>
    <w:rsid w:val="00260E53"/>
    <w:rsid w:val="00261B1C"/>
    <w:rsid w:val="00262A1F"/>
    <w:rsid w:val="00263585"/>
    <w:rsid w:val="00267AF4"/>
    <w:rsid w:val="00267FD5"/>
    <w:rsid w:val="00272AE9"/>
    <w:rsid w:val="0027504C"/>
    <w:rsid w:val="00280CDE"/>
    <w:rsid w:val="00281988"/>
    <w:rsid w:val="0028227E"/>
    <w:rsid w:val="00282FE2"/>
    <w:rsid w:val="00283043"/>
    <w:rsid w:val="00283198"/>
    <w:rsid w:val="002831C1"/>
    <w:rsid w:val="00283E5C"/>
    <w:rsid w:val="00283F89"/>
    <w:rsid w:val="00284524"/>
    <w:rsid w:val="00284F9B"/>
    <w:rsid w:val="002867E6"/>
    <w:rsid w:val="0028688A"/>
    <w:rsid w:val="002870B0"/>
    <w:rsid w:val="002872D4"/>
    <w:rsid w:val="00294E63"/>
    <w:rsid w:val="002A29AA"/>
    <w:rsid w:val="002A4C29"/>
    <w:rsid w:val="002A56CB"/>
    <w:rsid w:val="002A5986"/>
    <w:rsid w:val="002A6B41"/>
    <w:rsid w:val="002A7AE8"/>
    <w:rsid w:val="002B1D04"/>
    <w:rsid w:val="002B3782"/>
    <w:rsid w:val="002B5532"/>
    <w:rsid w:val="002B6D0B"/>
    <w:rsid w:val="002C012B"/>
    <w:rsid w:val="002C18E8"/>
    <w:rsid w:val="002C358B"/>
    <w:rsid w:val="002C436F"/>
    <w:rsid w:val="002C48B8"/>
    <w:rsid w:val="002C4AEF"/>
    <w:rsid w:val="002C602A"/>
    <w:rsid w:val="002C75D2"/>
    <w:rsid w:val="002D318E"/>
    <w:rsid w:val="002D6300"/>
    <w:rsid w:val="002D6AF7"/>
    <w:rsid w:val="002E36B3"/>
    <w:rsid w:val="002E3906"/>
    <w:rsid w:val="002E458C"/>
    <w:rsid w:val="002E560F"/>
    <w:rsid w:val="002F01C8"/>
    <w:rsid w:val="002F2219"/>
    <w:rsid w:val="002F2C92"/>
    <w:rsid w:val="002F6E5D"/>
    <w:rsid w:val="002F7525"/>
    <w:rsid w:val="002F7DC1"/>
    <w:rsid w:val="00303473"/>
    <w:rsid w:val="00304039"/>
    <w:rsid w:val="00304B7C"/>
    <w:rsid w:val="00304FD2"/>
    <w:rsid w:val="00305F69"/>
    <w:rsid w:val="00310B3C"/>
    <w:rsid w:val="00314376"/>
    <w:rsid w:val="00316596"/>
    <w:rsid w:val="00320831"/>
    <w:rsid w:val="00320999"/>
    <w:rsid w:val="003209CE"/>
    <w:rsid w:val="003259D2"/>
    <w:rsid w:val="00326508"/>
    <w:rsid w:val="0033131E"/>
    <w:rsid w:val="003322FD"/>
    <w:rsid w:val="003364E4"/>
    <w:rsid w:val="003407CC"/>
    <w:rsid w:val="00340E3C"/>
    <w:rsid w:val="00341935"/>
    <w:rsid w:val="00342AA6"/>
    <w:rsid w:val="0034399A"/>
    <w:rsid w:val="00344563"/>
    <w:rsid w:val="0034484C"/>
    <w:rsid w:val="00345E9E"/>
    <w:rsid w:val="00346781"/>
    <w:rsid w:val="00350988"/>
    <w:rsid w:val="0035136E"/>
    <w:rsid w:val="00353D10"/>
    <w:rsid w:val="00353D28"/>
    <w:rsid w:val="00355AFE"/>
    <w:rsid w:val="00356BC4"/>
    <w:rsid w:val="0035762F"/>
    <w:rsid w:val="003577FB"/>
    <w:rsid w:val="00357C96"/>
    <w:rsid w:val="00360948"/>
    <w:rsid w:val="003635B4"/>
    <w:rsid w:val="003670A9"/>
    <w:rsid w:val="003728CD"/>
    <w:rsid w:val="00373370"/>
    <w:rsid w:val="00374A9B"/>
    <w:rsid w:val="003836E0"/>
    <w:rsid w:val="00384459"/>
    <w:rsid w:val="00384AC4"/>
    <w:rsid w:val="00385C9D"/>
    <w:rsid w:val="003864CA"/>
    <w:rsid w:val="00387A26"/>
    <w:rsid w:val="00391309"/>
    <w:rsid w:val="00391CEF"/>
    <w:rsid w:val="0039252A"/>
    <w:rsid w:val="00392560"/>
    <w:rsid w:val="0039510C"/>
    <w:rsid w:val="00395154"/>
    <w:rsid w:val="00395F34"/>
    <w:rsid w:val="00395F61"/>
    <w:rsid w:val="003A1358"/>
    <w:rsid w:val="003A3F3D"/>
    <w:rsid w:val="003A7915"/>
    <w:rsid w:val="003A7C47"/>
    <w:rsid w:val="003B3816"/>
    <w:rsid w:val="003B3C22"/>
    <w:rsid w:val="003B4529"/>
    <w:rsid w:val="003B7062"/>
    <w:rsid w:val="003C0897"/>
    <w:rsid w:val="003C2D1F"/>
    <w:rsid w:val="003C41E8"/>
    <w:rsid w:val="003C4E39"/>
    <w:rsid w:val="003C652B"/>
    <w:rsid w:val="003C70B8"/>
    <w:rsid w:val="003D0BC6"/>
    <w:rsid w:val="003D1DBB"/>
    <w:rsid w:val="003D2BA1"/>
    <w:rsid w:val="003D418E"/>
    <w:rsid w:val="003D7C1C"/>
    <w:rsid w:val="003E078A"/>
    <w:rsid w:val="003E0E1C"/>
    <w:rsid w:val="003E0E58"/>
    <w:rsid w:val="003E1A1F"/>
    <w:rsid w:val="003E30AA"/>
    <w:rsid w:val="003E47E9"/>
    <w:rsid w:val="003E72EB"/>
    <w:rsid w:val="003F03FF"/>
    <w:rsid w:val="003F0B4D"/>
    <w:rsid w:val="003F1199"/>
    <w:rsid w:val="003F333F"/>
    <w:rsid w:val="003F3A33"/>
    <w:rsid w:val="003F473F"/>
    <w:rsid w:val="003F5435"/>
    <w:rsid w:val="003F5E86"/>
    <w:rsid w:val="00400D3D"/>
    <w:rsid w:val="00402212"/>
    <w:rsid w:val="00403349"/>
    <w:rsid w:val="00403C0C"/>
    <w:rsid w:val="00403D75"/>
    <w:rsid w:val="004072F2"/>
    <w:rsid w:val="0041047E"/>
    <w:rsid w:val="00410CAF"/>
    <w:rsid w:val="00411E4B"/>
    <w:rsid w:val="00412009"/>
    <w:rsid w:val="00413E31"/>
    <w:rsid w:val="004140EA"/>
    <w:rsid w:val="00414616"/>
    <w:rsid w:val="00416668"/>
    <w:rsid w:val="00416FE7"/>
    <w:rsid w:val="004202CE"/>
    <w:rsid w:val="00420439"/>
    <w:rsid w:val="004223D1"/>
    <w:rsid w:val="00422739"/>
    <w:rsid w:val="00422EDF"/>
    <w:rsid w:val="004231FB"/>
    <w:rsid w:val="00423A80"/>
    <w:rsid w:val="004242B2"/>
    <w:rsid w:val="00425066"/>
    <w:rsid w:val="004270B1"/>
    <w:rsid w:val="00427DA4"/>
    <w:rsid w:val="0043007D"/>
    <w:rsid w:val="004325F6"/>
    <w:rsid w:val="00432ABD"/>
    <w:rsid w:val="00432FF7"/>
    <w:rsid w:val="00433888"/>
    <w:rsid w:val="00435400"/>
    <w:rsid w:val="0043573A"/>
    <w:rsid w:val="00442025"/>
    <w:rsid w:val="00443B90"/>
    <w:rsid w:val="00444B3C"/>
    <w:rsid w:val="00447136"/>
    <w:rsid w:val="00451BC2"/>
    <w:rsid w:val="00463C53"/>
    <w:rsid w:val="004663DE"/>
    <w:rsid w:val="00467D97"/>
    <w:rsid w:val="00470655"/>
    <w:rsid w:val="00471C1F"/>
    <w:rsid w:val="00473BC7"/>
    <w:rsid w:val="00475AF5"/>
    <w:rsid w:val="00477590"/>
    <w:rsid w:val="00477D59"/>
    <w:rsid w:val="00480773"/>
    <w:rsid w:val="00480BE4"/>
    <w:rsid w:val="004823E2"/>
    <w:rsid w:val="00483F8C"/>
    <w:rsid w:val="00485241"/>
    <w:rsid w:val="00487480"/>
    <w:rsid w:val="0049010A"/>
    <w:rsid w:val="00491FBC"/>
    <w:rsid w:val="004931B3"/>
    <w:rsid w:val="004950B4"/>
    <w:rsid w:val="00497AE3"/>
    <w:rsid w:val="00497D13"/>
    <w:rsid w:val="004A0B87"/>
    <w:rsid w:val="004A0C61"/>
    <w:rsid w:val="004A20CB"/>
    <w:rsid w:val="004A2473"/>
    <w:rsid w:val="004A2798"/>
    <w:rsid w:val="004A2E7E"/>
    <w:rsid w:val="004A37C7"/>
    <w:rsid w:val="004A4730"/>
    <w:rsid w:val="004A646B"/>
    <w:rsid w:val="004B051C"/>
    <w:rsid w:val="004B064A"/>
    <w:rsid w:val="004B1818"/>
    <w:rsid w:val="004B18BB"/>
    <w:rsid w:val="004B366F"/>
    <w:rsid w:val="004B67EE"/>
    <w:rsid w:val="004C0192"/>
    <w:rsid w:val="004C052D"/>
    <w:rsid w:val="004C12ED"/>
    <w:rsid w:val="004C20BF"/>
    <w:rsid w:val="004C3C01"/>
    <w:rsid w:val="004C6947"/>
    <w:rsid w:val="004D1C24"/>
    <w:rsid w:val="004D3933"/>
    <w:rsid w:val="004D3B07"/>
    <w:rsid w:val="004D6024"/>
    <w:rsid w:val="004E4ADB"/>
    <w:rsid w:val="004E526A"/>
    <w:rsid w:val="004E54F4"/>
    <w:rsid w:val="004E5769"/>
    <w:rsid w:val="004E646D"/>
    <w:rsid w:val="004F1073"/>
    <w:rsid w:val="004F3555"/>
    <w:rsid w:val="004F3FEA"/>
    <w:rsid w:val="004F4565"/>
    <w:rsid w:val="004F6185"/>
    <w:rsid w:val="004F6374"/>
    <w:rsid w:val="004F66D5"/>
    <w:rsid w:val="0050081E"/>
    <w:rsid w:val="00501099"/>
    <w:rsid w:val="005018DD"/>
    <w:rsid w:val="005037E7"/>
    <w:rsid w:val="00506823"/>
    <w:rsid w:val="00507099"/>
    <w:rsid w:val="0050725C"/>
    <w:rsid w:val="005102FD"/>
    <w:rsid w:val="00510CE4"/>
    <w:rsid w:val="00512B17"/>
    <w:rsid w:val="00513382"/>
    <w:rsid w:val="005151F1"/>
    <w:rsid w:val="00516448"/>
    <w:rsid w:val="00521488"/>
    <w:rsid w:val="00521A0E"/>
    <w:rsid w:val="00522311"/>
    <w:rsid w:val="00522F48"/>
    <w:rsid w:val="00525866"/>
    <w:rsid w:val="00526F7D"/>
    <w:rsid w:val="00530541"/>
    <w:rsid w:val="0053149A"/>
    <w:rsid w:val="00532D66"/>
    <w:rsid w:val="005361DF"/>
    <w:rsid w:val="0053634F"/>
    <w:rsid w:val="0054059A"/>
    <w:rsid w:val="005435E6"/>
    <w:rsid w:val="005441CF"/>
    <w:rsid w:val="00544391"/>
    <w:rsid w:val="005448A2"/>
    <w:rsid w:val="00544C24"/>
    <w:rsid w:val="00545DFB"/>
    <w:rsid w:val="0054684E"/>
    <w:rsid w:val="00546F02"/>
    <w:rsid w:val="00547985"/>
    <w:rsid w:val="00550433"/>
    <w:rsid w:val="005516E9"/>
    <w:rsid w:val="00552EAF"/>
    <w:rsid w:val="00554288"/>
    <w:rsid w:val="0055556A"/>
    <w:rsid w:val="005563CF"/>
    <w:rsid w:val="005602CB"/>
    <w:rsid w:val="00560DAB"/>
    <w:rsid w:val="00561D82"/>
    <w:rsid w:val="00562486"/>
    <w:rsid w:val="00563437"/>
    <w:rsid w:val="005649F7"/>
    <w:rsid w:val="0056647A"/>
    <w:rsid w:val="0056737F"/>
    <w:rsid w:val="0056789E"/>
    <w:rsid w:val="00570241"/>
    <w:rsid w:val="00573072"/>
    <w:rsid w:val="0057311F"/>
    <w:rsid w:val="0057342B"/>
    <w:rsid w:val="005737E4"/>
    <w:rsid w:val="00574C58"/>
    <w:rsid w:val="0057539D"/>
    <w:rsid w:val="005753E5"/>
    <w:rsid w:val="00581463"/>
    <w:rsid w:val="00581D80"/>
    <w:rsid w:val="005830F1"/>
    <w:rsid w:val="0058414D"/>
    <w:rsid w:val="0058529C"/>
    <w:rsid w:val="00585A1E"/>
    <w:rsid w:val="005875BB"/>
    <w:rsid w:val="00592E07"/>
    <w:rsid w:val="00593918"/>
    <w:rsid w:val="00596264"/>
    <w:rsid w:val="00597A5D"/>
    <w:rsid w:val="005A00F7"/>
    <w:rsid w:val="005A0AAF"/>
    <w:rsid w:val="005A1BF0"/>
    <w:rsid w:val="005A301B"/>
    <w:rsid w:val="005A454B"/>
    <w:rsid w:val="005A5683"/>
    <w:rsid w:val="005A7083"/>
    <w:rsid w:val="005A7965"/>
    <w:rsid w:val="005B0401"/>
    <w:rsid w:val="005B168C"/>
    <w:rsid w:val="005B2BDC"/>
    <w:rsid w:val="005B4734"/>
    <w:rsid w:val="005B49D5"/>
    <w:rsid w:val="005B7395"/>
    <w:rsid w:val="005C07F1"/>
    <w:rsid w:val="005C0BCC"/>
    <w:rsid w:val="005C2A9B"/>
    <w:rsid w:val="005C6901"/>
    <w:rsid w:val="005C7785"/>
    <w:rsid w:val="005C7E7D"/>
    <w:rsid w:val="005D16A1"/>
    <w:rsid w:val="005D1D59"/>
    <w:rsid w:val="005D750E"/>
    <w:rsid w:val="005E097E"/>
    <w:rsid w:val="005E2CC0"/>
    <w:rsid w:val="005E2EE2"/>
    <w:rsid w:val="005E624F"/>
    <w:rsid w:val="005E7E47"/>
    <w:rsid w:val="005F63EB"/>
    <w:rsid w:val="0060033C"/>
    <w:rsid w:val="006021BB"/>
    <w:rsid w:val="00603E30"/>
    <w:rsid w:val="006040D8"/>
    <w:rsid w:val="00604617"/>
    <w:rsid w:val="006070E1"/>
    <w:rsid w:val="006119A3"/>
    <w:rsid w:val="00614277"/>
    <w:rsid w:val="00614495"/>
    <w:rsid w:val="00615A63"/>
    <w:rsid w:val="006167BD"/>
    <w:rsid w:val="00617470"/>
    <w:rsid w:val="006243C9"/>
    <w:rsid w:val="0063066C"/>
    <w:rsid w:val="006315FC"/>
    <w:rsid w:val="006333B1"/>
    <w:rsid w:val="0063364E"/>
    <w:rsid w:val="0063569E"/>
    <w:rsid w:val="00635931"/>
    <w:rsid w:val="006361F8"/>
    <w:rsid w:val="00636DC6"/>
    <w:rsid w:val="0064346E"/>
    <w:rsid w:val="00645147"/>
    <w:rsid w:val="006504BB"/>
    <w:rsid w:val="00651736"/>
    <w:rsid w:val="00653D89"/>
    <w:rsid w:val="00672FF1"/>
    <w:rsid w:val="006736F7"/>
    <w:rsid w:val="00674A18"/>
    <w:rsid w:val="00675290"/>
    <w:rsid w:val="006753E7"/>
    <w:rsid w:val="00675C7C"/>
    <w:rsid w:val="006760E0"/>
    <w:rsid w:val="0067645D"/>
    <w:rsid w:val="0068159B"/>
    <w:rsid w:val="00681E65"/>
    <w:rsid w:val="006829DB"/>
    <w:rsid w:val="00682E3D"/>
    <w:rsid w:val="00683036"/>
    <w:rsid w:val="006858B5"/>
    <w:rsid w:val="00691347"/>
    <w:rsid w:val="006917F9"/>
    <w:rsid w:val="006945B8"/>
    <w:rsid w:val="00694CCB"/>
    <w:rsid w:val="00695CC0"/>
    <w:rsid w:val="00696016"/>
    <w:rsid w:val="00696B03"/>
    <w:rsid w:val="006A030D"/>
    <w:rsid w:val="006A099F"/>
    <w:rsid w:val="006A0FC4"/>
    <w:rsid w:val="006A2885"/>
    <w:rsid w:val="006A3061"/>
    <w:rsid w:val="006A4282"/>
    <w:rsid w:val="006A544D"/>
    <w:rsid w:val="006A6BA0"/>
    <w:rsid w:val="006A73B0"/>
    <w:rsid w:val="006B2384"/>
    <w:rsid w:val="006B243C"/>
    <w:rsid w:val="006B3654"/>
    <w:rsid w:val="006B3FA8"/>
    <w:rsid w:val="006B59FD"/>
    <w:rsid w:val="006B5AA9"/>
    <w:rsid w:val="006C4943"/>
    <w:rsid w:val="006C4983"/>
    <w:rsid w:val="006C5533"/>
    <w:rsid w:val="006C6014"/>
    <w:rsid w:val="006C7036"/>
    <w:rsid w:val="006D0C61"/>
    <w:rsid w:val="006D4888"/>
    <w:rsid w:val="006D62F6"/>
    <w:rsid w:val="006D6958"/>
    <w:rsid w:val="006E0C1B"/>
    <w:rsid w:val="006E2592"/>
    <w:rsid w:val="006E5955"/>
    <w:rsid w:val="006E5F2B"/>
    <w:rsid w:val="006F343F"/>
    <w:rsid w:val="006F4FA3"/>
    <w:rsid w:val="006F59A9"/>
    <w:rsid w:val="006F60E6"/>
    <w:rsid w:val="006F75BB"/>
    <w:rsid w:val="006F79E9"/>
    <w:rsid w:val="0070054C"/>
    <w:rsid w:val="00705D3B"/>
    <w:rsid w:val="007103A9"/>
    <w:rsid w:val="007114FB"/>
    <w:rsid w:val="00711BBE"/>
    <w:rsid w:val="00712942"/>
    <w:rsid w:val="00713462"/>
    <w:rsid w:val="00713631"/>
    <w:rsid w:val="00714181"/>
    <w:rsid w:val="0071754E"/>
    <w:rsid w:val="00721F94"/>
    <w:rsid w:val="007251D4"/>
    <w:rsid w:val="00727ED8"/>
    <w:rsid w:val="0073049D"/>
    <w:rsid w:val="00730C43"/>
    <w:rsid w:val="0073453B"/>
    <w:rsid w:val="00736204"/>
    <w:rsid w:val="007364EA"/>
    <w:rsid w:val="00736769"/>
    <w:rsid w:val="007377B9"/>
    <w:rsid w:val="007412AD"/>
    <w:rsid w:val="00743D68"/>
    <w:rsid w:val="00746AB8"/>
    <w:rsid w:val="00752592"/>
    <w:rsid w:val="00757AA5"/>
    <w:rsid w:val="00761093"/>
    <w:rsid w:val="00761B33"/>
    <w:rsid w:val="00771E2D"/>
    <w:rsid w:val="00772CA9"/>
    <w:rsid w:val="007731F6"/>
    <w:rsid w:val="00773779"/>
    <w:rsid w:val="00773897"/>
    <w:rsid w:val="00773EB2"/>
    <w:rsid w:val="0077429E"/>
    <w:rsid w:val="00774DE7"/>
    <w:rsid w:val="00775BAF"/>
    <w:rsid w:val="0077615E"/>
    <w:rsid w:val="00777B33"/>
    <w:rsid w:val="0078010B"/>
    <w:rsid w:val="00782C93"/>
    <w:rsid w:val="0078517A"/>
    <w:rsid w:val="00793A31"/>
    <w:rsid w:val="00794D1E"/>
    <w:rsid w:val="0079545E"/>
    <w:rsid w:val="00795F61"/>
    <w:rsid w:val="007A2D7E"/>
    <w:rsid w:val="007A3643"/>
    <w:rsid w:val="007A42CD"/>
    <w:rsid w:val="007A4DE6"/>
    <w:rsid w:val="007A5C59"/>
    <w:rsid w:val="007A6979"/>
    <w:rsid w:val="007A7912"/>
    <w:rsid w:val="007A7C88"/>
    <w:rsid w:val="007B0BFB"/>
    <w:rsid w:val="007B1AD7"/>
    <w:rsid w:val="007B3ED2"/>
    <w:rsid w:val="007B73C8"/>
    <w:rsid w:val="007C2491"/>
    <w:rsid w:val="007C2DD0"/>
    <w:rsid w:val="007C6A05"/>
    <w:rsid w:val="007C7D4F"/>
    <w:rsid w:val="007D12E8"/>
    <w:rsid w:val="007D1DCB"/>
    <w:rsid w:val="007D232C"/>
    <w:rsid w:val="007D337A"/>
    <w:rsid w:val="007D48AE"/>
    <w:rsid w:val="007D6AF1"/>
    <w:rsid w:val="007D6F51"/>
    <w:rsid w:val="007E27C2"/>
    <w:rsid w:val="007E2F61"/>
    <w:rsid w:val="007E32A3"/>
    <w:rsid w:val="007E39D8"/>
    <w:rsid w:val="007E5BB4"/>
    <w:rsid w:val="007F44F8"/>
    <w:rsid w:val="007F5D7B"/>
    <w:rsid w:val="007F6A07"/>
    <w:rsid w:val="007F6D6B"/>
    <w:rsid w:val="007F6F70"/>
    <w:rsid w:val="007F72CA"/>
    <w:rsid w:val="007F785A"/>
    <w:rsid w:val="00810141"/>
    <w:rsid w:val="0081154D"/>
    <w:rsid w:val="00814604"/>
    <w:rsid w:val="00814F2E"/>
    <w:rsid w:val="008153C7"/>
    <w:rsid w:val="00815869"/>
    <w:rsid w:val="008158DF"/>
    <w:rsid w:val="008162D6"/>
    <w:rsid w:val="008163E8"/>
    <w:rsid w:val="00826124"/>
    <w:rsid w:val="00826E05"/>
    <w:rsid w:val="00827444"/>
    <w:rsid w:val="008276F3"/>
    <w:rsid w:val="00827A02"/>
    <w:rsid w:val="00831AED"/>
    <w:rsid w:val="00832230"/>
    <w:rsid w:val="00832B2D"/>
    <w:rsid w:val="00834FD8"/>
    <w:rsid w:val="00835BDC"/>
    <w:rsid w:val="00836978"/>
    <w:rsid w:val="00841247"/>
    <w:rsid w:val="008414C8"/>
    <w:rsid w:val="00845140"/>
    <w:rsid w:val="0084761C"/>
    <w:rsid w:val="0084768C"/>
    <w:rsid w:val="008519A2"/>
    <w:rsid w:val="00852159"/>
    <w:rsid w:val="00852D40"/>
    <w:rsid w:val="00852FAD"/>
    <w:rsid w:val="00856859"/>
    <w:rsid w:val="00856A93"/>
    <w:rsid w:val="0085704C"/>
    <w:rsid w:val="00861075"/>
    <w:rsid w:val="00862577"/>
    <w:rsid w:val="00862825"/>
    <w:rsid w:val="00863255"/>
    <w:rsid w:val="00864022"/>
    <w:rsid w:val="00864335"/>
    <w:rsid w:val="0086551C"/>
    <w:rsid w:val="008661CA"/>
    <w:rsid w:val="0086679C"/>
    <w:rsid w:val="008674CC"/>
    <w:rsid w:val="00872FA2"/>
    <w:rsid w:val="0087636B"/>
    <w:rsid w:val="00877FE7"/>
    <w:rsid w:val="00892CA0"/>
    <w:rsid w:val="0089388D"/>
    <w:rsid w:val="00893DBB"/>
    <w:rsid w:val="00894A6E"/>
    <w:rsid w:val="008A0812"/>
    <w:rsid w:val="008A2091"/>
    <w:rsid w:val="008A5618"/>
    <w:rsid w:val="008A6B7A"/>
    <w:rsid w:val="008B099B"/>
    <w:rsid w:val="008B167C"/>
    <w:rsid w:val="008B19F2"/>
    <w:rsid w:val="008B1B96"/>
    <w:rsid w:val="008B4EDC"/>
    <w:rsid w:val="008B76FA"/>
    <w:rsid w:val="008C06A6"/>
    <w:rsid w:val="008C1D19"/>
    <w:rsid w:val="008C1E4A"/>
    <w:rsid w:val="008C2120"/>
    <w:rsid w:val="008C400E"/>
    <w:rsid w:val="008C660A"/>
    <w:rsid w:val="008D1511"/>
    <w:rsid w:val="008D2CE7"/>
    <w:rsid w:val="008D4CDD"/>
    <w:rsid w:val="008D76E9"/>
    <w:rsid w:val="008E6681"/>
    <w:rsid w:val="008E7F9D"/>
    <w:rsid w:val="008F1D47"/>
    <w:rsid w:val="008F399E"/>
    <w:rsid w:val="008F73D4"/>
    <w:rsid w:val="008F7E82"/>
    <w:rsid w:val="009049C7"/>
    <w:rsid w:val="0090516E"/>
    <w:rsid w:val="00905442"/>
    <w:rsid w:val="00906D14"/>
    <w:rsid w:val="00910C1D"/>
    <w:rsid w:val="009115F8"/>
    <w:rsid w:val="0091234B"/>
    <w:rsid w:val="0091409D"/>
    <w:rsid w:val="009143F7"/>
    <w:rsid w:val="00920401"/>
    <w:rsid w:val="00920F12"/>
    <w:rsid w:val="00921227"/>
    <w:rsid w:val="009212B2"/>
    <w:rsid w:val="00921387"/>
    <w:rsid w:val="009213A5"/>
    <w:rsid w:val="00930174"/>
    <w:rsid w:val="00931B74"/>
    <w:rsid w:val="009337FF"/>
    <w:rsid w:val="00934019"/>
    <w:rsid w:val="009341B9"/>
    <w:rsid w:val="009353DE"/>
    <w:rsid w:val="00936374"/>
    <w:rsid w:val="00941207"/>
    <w:rsid w:val="00942404"/>
    <w:rsid w:val="009479A4"/>
    <w:rsid w:val="0095096F"/>
    <w:rsid w:val="00951816"/>
    <w:rsid w:val="00951C82"/>
    <w:rsid w:val="00952701"/>
    <w:rsid w:val="009532AF"/>
    <w:rsid w:val="00953E5B"/>
    <w:rsid w:val="009542C5"/>
    <w:rsid w:val="009577CA"/>
    <w:rsid w:val="00961EF0"/>
    <w:rsid w:val="00961FF4"/>
    <w:rsid w:val="0096329A"/>
    <w:rsid w:val="00964350"/>
    <w:rsid w:val="0096449E"/>
    <w:rsid w:val="009653F7"/>
    <w:rsid w:val="0096548F"/>
    <w:rsid w:val="009674AA"/>
    <w:rsid w:val="00970BE3"/>
    <w:rsid w:val="009741BD"/>
    <w:rsid w:val="009760CD"/>
    <w:rsid w:val="00980FF2"/>
    <w:rsid w:val="0098430F"/>
    <w:rsid w:val="00986378"/>
    <w:rsid w:val="00992698"/>
    <w:rsid w:val="00993B39"/>
    <w:rsid w:val="00994023"/>
    <w:rsid w:val="00995DE3"/>
    <w:rsid w:val="009A11EB"/>
    <w:rsid w:val="009A18BA"/>
    <w:rsid w:val="009A28A1"/>
    <w:rsid w:val="009A35C9"/>
    <w:rsid w:val="009A3C27"/>
    <w:rsid w:val="009B0859"/>
    <w:rsid w:val="009B095F"/>
    <w:rsid w:val="009B1D27"/>
    <w:rsid w:val="009B203A"/>
    <w:rsid w:val="009B3743"/>
    <w:rsid w:val="009B50CF"/>
    <w:rsid w:val="009B6671"/>
    <w:rsid w:val="009C0ADE"/>
    <w:rsid w:val="009C102F"/>
    <w:rsid w:val="009C3558"/>
    <w:rsid w:val="009C39FE"/>
    <w:rsid w:val="009C6371"/>
    <w:rsid w:val="009D0F48"/>
    <w:rsid w:val="009D2210"/>
    <w:rsid w:val="009D5237"/>
    <w:rsid w:val="009D6E87"/>
    <w:rsid w:val="009E14C6"/>
    <w:rsid w:val="009E1926"/>
    <w:rsid w:val="009E3478"/>
    <w:rsid w:val="009E5CB5"/>
    <w:rsid w:val="009E7790"/>
    <w:rsid w:val="009F4544"/>
    <w:rsid w:val="009F55F3"/>
    <w:rsid w:val="009F5D5F"/>
    <w:rsid w:val="009F6DF0"/>
    <w:rsid w:val="009F747B"/>
    <w:rsid w:val="00A01579"/>
    <w:rsid w:val="00A03045"/>
    <w:rsid w:val="00A03A77"/>
    <w:rsid w:val="00A04707"/>
    <w:rsid w:val="00A05CCD"/>
    <w:rsid w:val="00A0618A"/>
    <w:rsid w:val="00A061B6"/>
    <w:rsid w:val="00A06D66"/>
    <w:rsid w:val="00A1056E"/>
    <w:rsid w:val="00A1212F"/>
    <w:rsid w:val="00A122D0"/>
    <w:rsid w:val="00A135D9"/>
    <w:rsid w:val="00A14526"/>
    <w:rsid w:val="00A20FED"/>
    <w:rsid w:val="00A2332B"/>
    <w:rsid w:val="00A23E9D"/>
    <w:rsid w:val="00A25CC5"/>
    <w:rsid w:val="00A25E20"/>
    <w:rsid w:val="00A26F2B"/>
    <w:rsid w:val="00A278CA"/>
    <w:rsid w:val="00A31419"/>
    <w:rsid w:val="00A31D96"/>
    <w:rsid w:val="00A36169"/>
    <w:rsid w:val="00A36262"/>
    <w:rsid w:val="00A37A0B"/>
    <w:rsid w:val="00A41777"/>
    <w:rsid w:val="00A41FF8"/>
    <w:rsid w:val="00A42A84"/>
    <w:rsid w:val="00A437AB"/>
    <w:rsid w:val="00A51563"/>
    <w:rsid w:val="00A52926"/>
    <w:rsid w:val="00A52F45"/>
    <w:rsid w:val="00A54D9A"/>
    <w:rsid w:val="00A60E3D"/>
    <w:rsid w:val="00A66DA7"/>
    <w:rsid w:val="00A67CCB"/>
    <w:rsid w:val="00A71338"/>
    <w:rsid w:val="00A7540C"/>
    <w:rsid w:val="00A759F5"/>
    <w:rsid w:val="00A76EDC"/>
    <w:rsid w:val="00A76F50"/>
    <w:rsid w:val="00A827AC"/>
    <w:rsid w:val="00A82910"/>
    <w:rsid w:val="00A8318A"/>
    <w:rsid w:val="00A844A4"/>
    <w:rsid w:val="00A87257"/>
    <w:rsid w:val="00A90CBE"/>
    <w:rsid w:val="00A90D6C"/>
    <w:rsid w:val="00A9276A"/>
    <w:rsid w:val="00A9679F"/>
    <w:rsid w:val="00AA09CA"/>
    <w:rsid w:val="00AA1471"/>
    <w:rsid w:val="00AA1C83"/>
    <w:rsid w:val="00AA7C92"/>
    <w:rsid w:val="00AA7FA5"/>
    <w:rsid w:val="00AB0166"/>
    <w:rsid w:val="00AB046D"/>
    <w:rsid w:val="00AB1C8A"/>
    <w:rsid w:val="00AB29AC"/>
    <w:rsid w:val="00AB4802"/>
    <w:rsid w:val="00AB57C9"/>
    <w:rsid w:val="00AB6530"/>
    <w:rsid w:val="00AC089A"/>
    <w:rsid w:val="00AC1C5F"/>
    <w:rsid w:val="00AC3024"/>
    <w:rsid w:val="00AC31AC"/>
    <w:rsid w:val="00AC3A2F"/>
    <w:rsid w:val="00AC41B6"/>
    <w:rsid w:val="00AC6C2E"/>
    <w:rsid w:val="00AD0A9F"/>
    <w:rsid w:val="00AD0BEE"/>
    <w:rsid w:val="00AD0F08"/>
    <w:rsid w:val="00AD2C84"/>
    <w:rsid w:val="00AD3526"/>
    <w:rsid w:val="00AD3F05"/>
    <w:rsid w:val="00AD42A0"/>
    <w:rsid w:val="00AD53B0"/>
    <w:rsid w:val="00AD6041"/>
    <w:rsid w:val="00AD7BE2"/>
    <w:rsid w:val="00AE038D"/>
    <w:rsid w:val="00AE1C40"/>
    <w:rsid w:val="00AE1F94"/>
    <w:rsid w:val="00AE4A72"/>
    <w:rsid w:val="00AE5C26"/>
    <w:rsid w:val="00AE5E91"/>
    <w:rsid w:val="00AE6BE8"/>
    <w:rsid w:val="00AE6C27"/>
    <w:rsid w:val="00AE718B"/>
    <w:rsid w:val="00AE7B46"/>
    <w:rsid w:val="00AF166B"/>
    <w:rsid w:val="00AF190A"/>
    <w:rsid w:val="00AF1B95"/>
    <w:rsid w:val="00AF1C6F"/>
    <w:rsid w:val="00AF245F"/>
    <w:rsid w:val="00AF6611"/>
    <w:rsid w:val="00B0153B"/>
    <w:rsid w:val="00B02C51"/>
    <w:rsid w:val="00B044B5"/>
    <w:rsid w:val="00B07199"/>
    <w:rsid w:val="00B07793"/>
    <w:rsid w:val="00B102F1"/>
    <w:rsid w:val="00B105E7"/>
    <w:rsid w:val="00B11C90"/>
    <w:rsid w:val="00B13E76"/>
    <w:rsid w:val="00B13F46"/>
    <w:rsid w:val="00B14701"/>
    <w:rsid w:val="00B14D36"/>
    <w:rsid w:val="00B157C8"/>
    <w:rsid w:val="00B158AB"/>
    <w:rsid w:val="00B16F86"/>
    <w:rsid w:val="00B1705B"/>
    <w:rsid w:val="00B17F50"/>
    <w:rsid w:val="00B219FA"/>
    <w:rsid w:val="00B222E4"/>
    <w:rsid w:val="00B22D03"/>
    <w:rsid w:val="00B22F55"/>
    <w:rsid w:val="00B26DE1"/>
    <w:rsid w:val="00B27073"/>
    <w:rsid w:val="00B315CB"/>
    <w:rsid w:val="00B31FCB"/>
    <w:rsid w:val="00B34872"/>
    <w:rsid w:val="00B34FCC"/>
    <w:rsid w:val="00B36A30"/>
    <w:rsid w:val="00B37373"/>
    <w:rsid w:val="00B40B2C"/>
    <w:rsid w:val="00B41389"/>
    <w:rsid w:val="00B46743"/>
    <w:rsid w:val="00B50439"/>
    <w:rsid w:val="00B51DC9"/>
    <w:rsid w:val="00B52925"/>
    <w:rsid w:val="00B554EC"/>
    <w:rsid w:val="00B6038B"/>
    <w:rsid w:val="00B624D1"/>
    <w:rsid w:val="00B64894"/>
    <w:rsid w:val="00B65EA2"/>
    <w:rsid w:val="00B66764"/>
    <w:rsid w:val="00B671E3"/>
    <w:rsid w:val="00B72746"/>
    <w:rsid w:val="00B73362"/>
    <w:rsid w:val="00B753BE"/>
    <w:rsid w:val="00B80B62"/>
    <w:rsid w:val="00B845B1"/>
    <w:rsid w:val="00B84693"/>
    <w:rsid w:val="00B85591"/>
    <w:rsid w:val="00B86C69"/>
    <w:rsid w:val="00B87492"/>
    <w:rsid w:val="00B91AA7"/>
    <w:rsid w:val="00B92596"/>
    <w:rsid w:val="00B9306F"/>
    <w:rsid w:val="00B9534E"/>
    <w:rsid w:val="00B95526"/>
    <w:rsid w:val="00B966DF"/>
    <w:rsid w:val="00B971CD"/>
    <w:rsid w:val="00BA1397"/>
    <w:rsid w:val="00BA17F8"/>
    <w:rsid w:val="00BA518E"/>
    <w:rsid w:val="00BA5EFD"/>
    <w:rsid w:val="00BA7274"/>
    <w:rsid w:val="00BA7F38"/>
    <w:rsid w:val="00BB2E19"/>
    <w:rsid w:val="00BB37F3"/>
    <w:rsid w:val="00BB3C0A"/>
    <w:rsid w:val="00BB77DE"/>
    <w:rsid w:val="00BC15C0"/>
    <w:rsid w:val="00BC4D3F"/>
    <w:rsid w:val="00BC589B"/>
    <w:rsid w:val="00BC740A"/>
    <w:rsid w:val="00BD05CD"/>
    <w:rsid w:val="00BD0881"/>
    <w:rsid w:val="00BD2103"/>
    <w:rsid w:val="00BD7DC4"/>
    <w:rsid w:val="00BE5D28"/>
    <w:rsid w:val="00BE7E81"/>
    <w:rsid w:val="00BF15A4"/>
    <w:rsid w:val="00BF205C"/>
    <w:rsid w:val="00BF2F49"/>
    <w:rsid w:val="00BF35EE"/>
    <w:rsid w:val="00C004AA"/>
    <w:rsid w:val="00C01F3B"/>
    <w:rsid w:val="00C038B6"/>
    <w:rsid w:val="00C03CCF"/>
    <w:rsid w:val="00C054AC"/>
    <w:rsid w:val="00C07398"/>
    <w:rsid w:val="00C13DC7"/>
    <w:rsid w:val="00C13F3E"/>
    <w:rsid w:val="00C1439D"/>
    <w:rsid w:val="00C14B39"/>
    <w:rsid w:val="00C14E78"/>
    <w:rsid w:val="00C15AFE"/>
    <w:rsid w:val="00C16C62"/>
    <w:rsid w:val="00C20229"/>
    <w:rsid w:val="00C20267"/>
    <w:rsid w:val="00C21CA0"/>
    <w:rsid w:val="00C224B4"/>
    <w:rsid w:val="00C22B5E"/>
    <w:rsid w:val="00C23DED"/>
    <w:rsid w:val="00C242E2"/>
    <w:rsid w:val="00C246B8"/>
    <w:rsid w:val="00C25855"/>
    <w:rsid w:val="00C2678A"/>
    <w:rsid w:val="00C27044"/>
    <w:rsid w:val="00C30ACE"/>
    <w:rsid w:val="00C31923"/>
    <w:rsid w:val="00C33508"/>
    <w:rsid w:val="00C34A53"/>
    <w:rsid w:val="00C354CF"/>
    <w:rsid w:val="00C41162"/>
    <w:rsid w:val="00C41437"/>
    <w:rsid w:val="00C42D17"/>
    <w:rsid w:val="00C42F06"/>
    <w:rsid w:val="00C43A29"/>
    <w:rsid w:val="00C43F7D"/>
    <w:rsid w:val="00C46D20"/>
    <w:rsid w:val="00C47885"/>
    <w:rsid w:val="00C50057"/>
    <w:rsid w:val="00C5330D"/>
    <w:rsid w:val="00C573A9"/>
    <w:rsid w:val="00C62D66"/>
    <w:rsid w:val="00C6748D"/>
    <w:rsid w:val="00C67A8A"/>
    <w:rsid w:val="00C72EF4"/>
    <w:rsid w:val="00C731C1"/>
    <w:rsid w:val="00C7352B"/>
    <w:rsid w:val="00C751D9"/>
    <w:rsid w:val="00C751EB"/>
    <w:rsid w:val="00C75AB7"/>
    <w:rsid w:val="00C76DC2"/>
    <w:rsid w:val="00C77073"/>
    <w:rsid w:val="00C800FC"/>
    <w:rsid w:val="00C801E4"/>
    <w:rsid w:val="00C81934"/>
    <w:rsid w:val="00C82C83"/>
    <w:rsid w:val="00C84077"/>
    <w:rsid w:val="00C84D4B"/>
    <w:rsid w:val="00C86D5C"/>
    <w:rsid w:val="00C94829"/>
    <w:rsid w:val="00C94E96"/>
    <w:rsid w:val="00CA1C11"/>
    <w:rsid w:val="00CA313C"/>
    <w:rsid w:val="00CA3BF5"/>
    <w:rsid w:val="00CA61F4"/>
    <w:rsid w:val="00CB235A"/>
    <w:rsid w:val="00CB5736"/>
    <w:rsid w:val="00CB59B1"/>
    <w:rsid w:val="00CB7280"/>
    <w:rsid w:val="00CC06B7"/>
    <w:rsid w:val="00CC0B03"/>
    <w:rsid w:val="00CC11C5"/>
    <w:rsid w:val="00CC1510"/>
    <w:rsid w:val="00CC328E"/>
    <w:rsid w:val="00CC371E"/>
    <w:rsid w:val="00CC5E58"/>
    <w:rsid w:val="00CC7878"/>
    <w:rsid w:val="00CD0D58"/>
    <w:rsid w:val="00CD2026"/>
    <w:rsid w:val="00CD7D01"/>
    <w:rsid w:val="00CE0538"/>
    <w:rsid w:val="00CE1163"/>
    <w:rsid w:val="00CE37A3"/>
    <w:rsid w:val="00CE3AEF"/>
    <w:rsid w:val="00CE57F8"/>
    <w:rsid w:val="00CE6F03"/>
    <w:rsid w:val="00CE776C"/>
    <w:rsid w:val="00CE7CA5"/>
    <w:rsid w:val="00CF01E8"/>
    <w:rsid w:val="00CF0985"/>
    <w:rsid w:val="00CF1E71"/>
    <w:rsid w:val="00CF2A00"/>
    <w:rsid w:val="00CF4346"/>
    <w:rsid w:val="00CF5956"/>
    <w:rsid w:val="00CF6402"/>
    <w:rsid w:val="00D01566"/>
    <w:rsid w:val="00D036B9"/>
    <w:rsid w:val="00D068C4"/>
    <w:rsid w:val="00D07563"/>
    <w:rsid w:val="00D12119"/>
    <w:rsid w:val="00D138F8"/>
    <w:rsid w:val="00D141D1"/>
    <w:rsid w:val="00D14295"/>
    <w:rsid w:val="00D16C9D"/>
    <w:rsid w:val="00D200D6"/>
    <w:rsid w:val="00D21A52"/>
    <w:rsid w:val="00D2564B"/>
    <w:rsid w:val="00D30322"/>
    <w:rsid w:val="00D31630"/>
    <w:rsid w:val="00D3420B"/>
    <w:rsid w:val="00D37B88"/>
    <w:rsid w:val="00D40C17"/>
    <w:rsid w:val="00D41236"/>
    <w:rsid w:val="00D417E6"/>
    <w:rsid w:val="00D4661A"/>
    <w:rsid w:val="00D46924"/>
    <w:rsid w:val="00D46DA9"/>
    <w:rsid w:val="00D50860"/>
    <w:rsid w:val="00D51678"/>
    <w:rsid w:val="00D51C3E"/>
    <w:rsid w:val="00D53CF9"/>
    <w:rsid w:val="00D61AD3"/>
    <w:rsid w:val="00D62D8F"/>
    <w:rsid w:val="00D634E9"/>
    <w:rsid w:val="00D64C60"/>
    <w:rsid w:val="00D67533"/>
    <w:rsid w:val="00D7216A"/>
    <w:rsid w:val="00D73B39"/>
    <w:rsid w:val="00D76A00"/>
    <w:rsid w:val="00D76E02"/>
    <w:rsid w:val="00D84699"/>
    <w:rsid w:val="00D8536D"/>
    <w:rsid w:val="00D90310"/>
    <w:rsid w:val="00D90A74"/>
    <w:rsid w:val="00D94E55"/>
    <w:rsid w:val="00DA0245"/>
    <w:rsid w:val="00DA154C"/>
    <w:rsid w:val="00DA32DE"/>
    <w:rsid w:val="00DA3EAF"/>
    <w:rsid w:val="00DA42AB"/>
    <w:rsid w:val="00DA4EC0"/>
    <w:rsid w:val="00DB0B12"/>
    <w:rsid w:val="00DB3186"/>
    <w:rsid w:val="00DB6E79"/>
    <w:rsid w:val="00DB6FA8"/>
    <w:rsid w:val="00DB7745"/>
    <w:rsid w:val="00DB7876"/>
    <w:rsid w:val="00DB7DFB"/>
    <w:rsid w:val="00DC01C3"/>
    <w:rsid w:val="00DC4996"/>
    <w:rsid w:val="00DC6878"/>
    <w:rsid w:val="00DC76E6"/>
    <w:rsid w:val="00DD0758"/>
    <w:rsid w:val="00DD1DD8"/>
    <w:rsid w:val="00DD33F7"/>
    <w:rsid w:val="00DD3541"/>
    <w:rsid w:val="00DD6CCA"/>
    <w:rsid w:val="00DE3D50"/>
    <w:rsid w:val="00DE6327"/>
    <w:rsid w:val="00DE6D7A"/>
    <w:rsid w:val="00DE6DF7"/>
    <w:rsid w:val="00DF07AE"/>
    <w:rsid w:val="00DF1FB8"/>
    <w:rsid w:val="00DF20E0"/>
    <w:rsid w:val="00DF2B7A"/>
    <w:rsid w:val="00DF501C"/>
    <w:rsid w:val="00DF7629"/>
    <w:rsid w:val="00DF7980"/>
    <w:rsid w:val="00DF7F07"/>
    <w:rsid w:val="00DF7F66"/>
    <w:rsid w:val="00E00391"/>
    <w:rsid w:val="00E038BB"/>
    <w:rsid w:val="00E04A00"/>
    <w:rsid w:val="00E0520A"/>
    <w:rsid w:val="00E07987"/>
    <w:rsid w:val="00E12462"/>
    <w:rsid w:val="00E12572"/>
    <w:rsid w:val="00E178A8"/>
    <w:rsid w:val="00E31EEC"/>
    <w:rsid w:val="00E32ABD"/>
    <w:rsid w:val="00E337C5"/>
    <w:rsid w:val="00E34B44"/>
    <w:rsid w:val="00E3633E"/>
    <w:rsid w:val="00E40471"/>
    <w:rsid w:val="00E439C5"/>
    <w:rsid w:val="00E51747"/>
    <w:rsid w:val="00E5323F"/>
    <w:rsid w:val="00E539D8"/>
    <w:rsid w:val="00E53C62"/>
    <w:rsid w:val="00E54AD0"/>
    <w:rsid w:val="00E55D5C"/>
    <w:rsid w:val="00E62799"/>
    <w:rsid w:val="00E71650"/>
    <w:rsid w:val="00E71C47"/>
    <w:rsid w:val="00E71FDF"/>
    <w:rsid w:val="00E72F9B"/>
    <w:rsid w:val="00E75402"/>
    <w:rsid w:val="00E759CB"/>
    <w:rsid w:val="00E81985"/>
    <w:rsid w:val="00E81B9F"/>
    <w:rsid w:val="00E82168"/>
    <w:rsid w:val="00E844B6"/>
    <w:rsid w:val="00E87B7B"/>
    <w:rsid w:val="00E9129F"/>
    <w:rsid w:val="00E9202A"/>
    <w:rsid w:val="00E924DD"/>
    <w:rsid w:val="00E93549"/>
    <w:rsid w:val="00E935CC"/>
    <w:rsid w:val="00E93A19"/>
    <w:rsid w:val="00E94D27"/>
    <w:rsid w:val="00E959B1"/>
    <w:rsid w:val="00EA12C5"/>
    <w:rsid w:val="00EA1325"/>
    <w:rsid w:val="00EA1919"/>
    <w:rsid w:val="00EA79E8"/>
    <w:rsid w:val="00EB11D8"/>
    <w:rsid w:val="00EB3F3A"/>
    <w:rsid w:val="00EB5333"/>
    <w:rsid w:val="00EB5ECE"/>
    <w:rsid w:val="00EC0305"/>
    <w:rsid w:val="00EC08B1"/>
    <w:rsid w:val="00EC2C0B"/>
    <w:rsid w:val="00EC391F"/>
    <w:rsid w:val="00EC41B3"/>
    <w:rsid w:val="00EC4E38"/>
    <w:rsid w:val="00EC52E5"/>
    <w:rsid w:val="00EC534A"/>
    <w:rsid w:val="00ED5467"/>
    <w:rsid w:val="00EE0FAC"/>
    <w:rsid w:val="00EE2176"/>
    <w:rsid w:val="00EE5213"/>
    <w:rsid w:val="00EE7FF3"/>
    <w:rsid w:val="00EF04B2"/>
    <w:rsid w:val="00EF34F7"/>
    <w:rsid w:val="00F00467"/>
    <w:rsid w:val="00F02D55"/>
    <w:rsid w:val="00F03642"/>
    <w:rsid w:val="00F05EBA"/>
    <w:rsid w:val="00F10D45"/>
    <w:rsid w:val="00F15C39"/>
    <w:rsid w:val="00F17880"/>
    <w:rsid w:val="00F229C0"/>
    <w:rsid w:val="00F22FF7"/>
    <w:rsid w:val="00F2418C"/>
    <w:rsid w:val="00F25CA9"/>
    <w:rsid w:val="00F27650"/>
    <w:rsid w:val="00F31F0D"/>
    <w:rsid w:val="00F37589"/>
    <w:rsid w:val="00F37693"/>
    <w:rsid w:val="00F409C5"/>
    <w:rsid w:val="00F43ADB"/>
    <w:rsid w:val="00F43DDE"/>
    <w:rsid w:val="00F44A85"/>
    <w:rsid w:val="00F46AD3"/>
    <w:rsid w:val="00F531FA"/>
    <w:rsid w:val="00F53297"/>
    <w:rsid w:val="00F54A8D"/>
    <w:rsid w:val="00F5562C"/>
    <w:rsid w:val="00F60301"/>
    <w:rsid w:val="00F626DC"/>
    <w:rsid w:val="00F633DE"/>
    <w:rsid w:val="00F635AB"/>
    <w:rsid w:val="00F644D1"/>
    <w:rsid w:val="00F67725"/>
    <w:rsid w:val="00F67878"/>
    <w:rsid w:val="00F70351"/>
    <w:rsid w:val="00F70CAF"/>
    <w:rsid w:val="00F761DD"/>
    <w:rsid w:val="00F7734A"/>
    <w:rsid w:val="00F83D7E"/>
    <w:rsid w:val="00F84B60"/>
    <w:rsid w:val="00F90BA4"/>
    <w:rsid w:val="00FA3222"/>
    <w:rsid w:val="00FA41F9"/>
    <w:rsid w:val="00FA4CEF"/>
    <w:rsid w:val="00FA5091"/>
    <w:rsid w:val="00FA7FF0"/>
    <w:rsid w:val="00FB04D4"/>
    <w:rsid w:val="00FB1218"/>
    <w:rsid w:val="00FB1395"/>
    <w:rsid w:val="00FB4277"/>
    <w:rsid w:val="00FB4668"/>
    <w:rsid w:val="00FB5358"/>
    <w:rsid w:val="00FB5ECA"/>
    <w:rsid w:val="00FB651B"/>
    <w:rsid w:val="00FB7F0F"/>
    <w:rsid w:val="00FC07AD"/>
    <w:rsid w:val="00FC2316"/>
    <w:rsid w:val="00FC5A18"/>
    <w:rsid w:val="00FC612C"/>
    <w:rsid w:val="00FC6E7D"/>
    <w:rsid w:val="00FC6F23"/>
    <w:rsid w:val="00FD0A66"/>
    <w:rsid w:val="00FD2FCC"/>
    <w:rsid w:val="00FD3849"/>
    <w:rsid w:val="00FD4487"/>
    <w:rsid w:val="00FD4D0E"/>
    <w:rsid w:val="00FD6DAD"/>
    <w:rsid w:val="00FD6E97"/>
    <w:rsid w:val="00FD79E4"/>
    <w:rsid w:val="00FE13C8"/>
    <w:rsid w:val="00FE1585"/>
    <w:rsid w:val="00FE2725"/>
    <w:rsid w:val="00FE28C2"/>
    <w:rsid w:val="00FE2DFB"/>
    <w:rsid w:val="00FE3E02"/>
    <w:rsid w:val="00FE5CD7"/>
    <w:rsid w:val="00FE615D"/>
    <w:rsid w:val="00FE6605"/>
    <w:rsid w:val="00FE7842"/>
    <w:rsid w:val="00FE7B4F"/>
    <w:rsid w:val="00FE7C96"/>
    <w:rsid w:val="00FF3750"/>
    <w:rsid w:val="00FF3D14"/>
    <w:rsid w:val="00FF5E52"/>
    <w:rsid w:val="00FF69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2E58E"/>
  <w15:chartTrackingRefBased/>
  <w15:docId w15:val="{9A9A96FB-E3C5-4868-A42C-E871E5DF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5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C355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C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558"/>
  </w:style>
  <w:style w:type="paragraph" w:styleId="Footer">
    <w:name w:val="footer"/>
    <w:basedOn w:val="Normal"/>
    <w:link w:val="FooterChar"/>
    <w:uiPriority w:val="99"/>
    <w:unhideWhenUsed/>
    <w:rsid w:val="009C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558"/>
  </w:style>
  <w:style w:type="paragraph" w:styleId="Caption">
    <w:name w:val="caption"/>
    <w:basedOn w:val="Normal"/>
    <w:next w:val="Normal"/>
    <w:uiPriority w:val="35"/>
    <w:unhideWhenUsed/>
    <w:qFormat/>
    <w:rsid w:val="009C3558"/>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9C3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58"/>
    <w:rPr>
      <w:rFonts w:ascii="Segoe UI" w:hAnsi="Segoe UI" w:cs="Segoe UI"/>
      <w:sz w:val="18"/>
      <w:szCs w:val="18"/>
    </w:rPr>
  </w:style>
  <w:style w:type="paragraph" w:styleId="ListParagraph">
    <w:name w:val="List Paragraph"/>
    <w:basedOn w:val="Normal"/>
    <w:uiPriority w:val="34"/>
    <w:qFormat/>
    <w:rsid w:val="009C3558"/>
    <w:pPr>
      <w:ind w:left="720"/>
      <w:contextualSpacing/>
    </w:pPr>
  </w:style>
  <w:style w:type="character" w:styleId="PlaceholderText">
    <w:name w:val="Placeholder Text"/>
    <w:basedOn w:val="DefaultParagraphFont"/>
    <w:uiPriority w:val="99"/>
    <w:semiHidden/>
    <w:rsid w:val="009C3558"/>
    <w:rPr>
      <w:color w:val="808080"/>
    </w:rPr>
  </w:style>
  <w:style w:type="paragraph" w:styleId="FootnoteText">
    <w:name w:val="footnote text"/>
    <w:basedOn w:val="Normal"/>
    <w:link w:val="FootnoteTextChar"/>
    <w:uiPriority w:val="99"/>
    <w:semiHidden/>
    <w:unhideWhenUsed/>
    <w:rsid w:val="00D62D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D8F"/>
    <w:rPr>
      <w:sz w:val="20"/>
      <w:szCs w:val="20"/>
    </w:rPr>
  </w:style>
  <w:style w:type="character" w:styleId="FootnoteReference">
    <w:name w:val="footnote reference"/>
    <w:basedOn w:val="DefaultParagraphFont"/>
    <w:uiPriority w:val="99"/>
    <w:semiHidden/>
    <w:unhideWhenUsed/>
    <w:rsid w:val="00D62D8F"/>
    <w:rPr>
      <w:vertAlign w:val="superscript"/>
    </w:rPr>
  </w:style>
  <w:style w:type="character" w:styleId="CommentReference">
    <w:name w:val="annotation reference"/>
    <w:basedOn w:val="DefaultParagraphFont"/>
    <w:uiPriority w:val="99"/>
    <w:semiHidden/>
    <w:unhideWhenUsed/>
    <w:rsid w:val="00B157C8"/>
    <w:rPr>
      <w:sz w:val="16"/>
      <w:szCs w:val="16"/>
    </w:rPr>
  </w:style>
  <w:style w:type="paragraph" w:styleId="CommentText">
    <w:name w:val="annotation text"/>
    <w:basedOn w:val="Normal"/>
    <w:link w:val="CommentTextChar"/>
    <w:uiPriority w:val="99"/>
    <w:semiHidden/>
    <w:unhideWhenUsed/>
    <w:rsid w:val="00B157C8"/>
    <w:pPr>
      <w:spacing w:line="240" w:lineRule="auto"/>
    </w:pPr>
    <w:rPr>
      <w:sz w:val="20"/>
      <w:szCs w:val="20"/>
    </w:rPr>
  </w:style>
  <w:style w:type="character" w:customStyle="1" w:styleId="CommentTextChar">
    <w:name w:val="Comment Text Char"/>
    <w:basedOn w:val="DefaultParagraphFont"/>
    <w:link w:val="CommentText"/>
    <w:uiPriority w:val="99"/>
    <w:semiHidden/>
    <w:rsid w:val="00B157C8"/>
    <w:rPr>
      <w:sz w:val="20"/>
      <w:szCs w:val="20"/>
    </w:rPr>
  </w:style>
  <w:style w:type="paragraph" w:styleId="CommentSubject">
    <w:name w:val="annotation subject"/>
    <w:basedOn w:val="CommentText"/>
    <w:next w:val="CommentText"/>
    <w:link w:val="CommentSubjectChar"/>
    <w:uiPriority w:val="99"/>
    <w:semiHidden/>
    <w:unhideWhenUsed/>
    <w:rsid w:val="00B157C8"/>
    <w:rPr>
      <w:b/>
      <w:bCs/>
    </w:rPr>
  </w:style>
  <w:style w:type="character" w:customStyle="1" w:styleId="CommentSubjectChar">
    <w:name w:val="Comment Subject Char"/>
    <w:basedOn w:val="CommentTextChar"/>
    <w:link w:val="CommentSubject"/>
    <w:uiPriority w:val="99"/>
    <w:semiHidden/>
    <w:rsid w:val="00B157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1E46-16BA-451D-AD9F-42E29B49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18018</Words>
  <Characters>102703</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 Kuhu (IFPRI-New Delhi)</dc:creator>
  <cp:keywords/>
  <dc:description/>
  <cp:lastModifiedBy>Joshi, Kuhu (IFPRI-New Delhi)</cp:lastModifiedBy>
  <cp:revision>11</cp:revision>
  <cp:lastPrinted>2019-08-28T13:44:00Z</cp:lastPrinted>
  <dcterms:created xsi:type="dcterms:W3CDTF">2019-11-25T05:00:00Z</dcterms:created>
  <dcterms:modified xsi:type="dcterms:W3CDTF">2019-12-13T05:38:00Z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c0b82198-0d3f-3c3c-bdc5-ef077c711140</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