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2C" w:rsidRPr="000C3BD4" w:rsidRDefault="00896C2C" w:rsidP="00896C2C">
      <w:pPr>
        <w:spacing w:line="360" w:lineRule="auto"/>
        <w:jc w:val="center"/>
        <w:rPr>
          <w:b/>
        </w:rPr>
      </w:pPr>
      <w:r w:rsidRPr="000C3BD4">
        <w:rPr>
          <w:b/>
        </w:rPr>
        <w:t>Stability and Policy Rules in Emerging Markets</w:t>
      </w:r>
      <w:r w:rsidRPr="000C3BD4">
        <w:rPr>
          <w:rStyle w:val="FootnoteReference"/>
          <w:b/>
        </w:rPr>
        <w:footnoteReference w:customMarkFollows="1" w:id="2"/>
        <w:sym w:font="Symbol" w:char="F02A"/>
      </w:r>
    </w:p>
    <w:p w:rsidR="00896C2C" w:rsidRPr="000C3BD4" w:rsidRDefault="00896C2C" w:rsidP="00896C2C">
      <w:pPr>
        <w:pStyle w:val="BodyText"/>
        <w:rPr>
          <w:bCs w:val="0"/>
        </w:rPr>
      </w:pPr>
    </w:p>
    <w:p w:rsidR="00896C2C" w:rsidRPr="000C3BD4" w:rsidRDefault="00896C2C" w:rsidP="00896C2C">
      <w:pPr>
        <w:pStyle w:val="BodyText"/>
        <w:rPr>
          <w:bCs w:val="0"/>
        </w:rPr>
      </w:pPr>
    </w:p>
    <w:p w:rsidR="00896C2C" w:rsidRDefault="00896C2C" w:rsidP="00896C2C">
      <w:pPr>
        <w:pStyle w:val="BodyText"/>
        <w:rPr>
          <w:bCs w:val="0"/>
        </w:rPr>
      </w:pPr>
    </w:p>
    <w:p w:rsidR="00896C2C" w:rsidRDefault="00896C2C" w:rsidP="00896C2C">
      <w:pPr>
        <w:pStyle w:val="BodyText"/>
        <w:rPr>
          <w:bCs w:val="0"/>
        </w:rPr>
      </w:pPr>
    </w:p>
    <w:p w:rsidR="00896C2C" w:rsidRPr="000C3BD4" w:rsidRDefault="00896C2C" w:rsidP="00896C2C">
      <w:pPr>
        <w:pStyle w:val="BodyText"/>
        <w:rPr>
          <w:bCs w:val="0"/>
        </w:rPr>
      </w:pPr>
    </w:p>
    <w:p w:rsidR="00896C2C" w:rsidRPr="000C3BD4" w:rsidRDefault="00896C2C" w:rsidP="00896C2C">
      <w:pPr>
        <w:pStyle w:val="BodyText"/>
        <w:rPr>
          <w:bCs w:val="0"/>
        </w:rPr>
      </w:pPr>
      <w:r w:rsidRPr="000C3BD4">
        <w:rPr>
          <w:bCs w:val="0"/>
        </w:rPr>
        <w:t>Ashima Goyal</w:t>
      </w:r>
      <w:r>
        <w:rPr>
          <w:bCs w:val="0"/>
        </w:rPr>
        <w:t>^</w:t>
      </w:r>
      <w:r w:rsidRPr="000C3BD4">
        <w:rPr>
          <w:bCs w:val="0"/>
        </w:rPr>
        <w:t xml:space="preserve"> and Shruti Tripathi</w:t>
      </w:r>
      <w:r>
        <w:rPr>
          <w:bCs w:val="0"/>
        </w:rPr>
        <w:t>^^</w:t>
      </w:r>
    </w:p>
    <w:p w:rsidR="00896C2C" w:rsidRPr="004356F8" w:rsidRDefault="004356F8" w:rsidP="00896C2C">
      <w:pPr>
        <w:pStyle w:val="BodyText"/>
        <w:rPr>
          <w:b w:val="0"/>
          <w:bCs w:val="0"/>
        </w:rPr>
      </w:pPr>
      <w:r w:rsidRPr="004356F8">
        <w:rPr>
          <w:b w:val="0"/>
          <w:bCs w:val="0"/>
        </w:rPr>
        <w:t>October 2012</w:t>
      </w:r>
    </w:p>
    <w:p w:rsidR="00896C2C" w:rsidRDefault="00896C2C" w:rsidP="00896C2C">
      <w:pPr>
        <w:pStyle w:val="BodyText"/>
        <w:rPr>
          <w:bCs w:val="0"/>
        </w:rPr>
      </w:pPr>
    </w:p>
    <w:p w:rsidR="00896C2C" w:rsidRDefault="00896C2C" w:rsidP="00896C2C">
      <w:pPr>
        <w:pStyle w:val="BodyText"/>
        <w:rPr>
          <w:bCs w:val="0"/>
        </w:rPr>
      </w:pPr>
    </w:p>
    <w:p w:rsidR="00896C2C" w:rsidRDefault="00896C2C" w:rsidP="00896C2C">
      <w:pPr>
        <w:pStyle w:val="BodyText"/>
        <w:spacing w:line="240" w:lineRule="auto"/>
        <w:rPr>
          <w:bCs w:val="0"/>
        </w:rPr>
      </w:pPr>
      <w:r>
        <w:rPr>
          <w:bCs w:val="0"/>
        </w:rPr>
        <w:t>^Professor</w:t>
      </w:r>
    </w:p>
    <w:p w:rsidR="00896C2C" w:rsidRDefault="00896C2C" w:rsidP="00896C2C">
      <w:pPr>
        <w:pStyle w:val="BodyText"/>
        <w:spacing w:line="240" w:lineRule="auto"/>
        <w:rPr>
          <w:bCs w:val="0"/>
        </w:rPr>
      </w:pPr>
      <w:r>
        <w:rPr>
          <w:bCs w:val="0"/>
        </w:rPr>
        <w:t>Indira Gandhi Institute of Development Research</w:t>
      </w:r>
    </w:p>
    <w:p w:rsidR="00896C2C" w:rsidRDefault="00896C2C" w:rsidP="00896C2C">
      <w:pPr>
        <w:jc w:val="center"/>
        <w:rPr>
          <w:b/>
          <w:lang w:val="de-DE"/>
        </w:rPr>
      </w:pPr>
      <w:r>
        <w:rPr>
          <w:b/>
          <w:lang w:val="de-DE"/>
        </w:rPr>
        <w:t>Gen. Vaidya Marg, Santosh Nagar,</w:t>
      </w:r>
    </w:p>
    <w:p w:rsidR="00896C2C" w:rsidRDefault="00896C2C" w:rsidP="00896C2C">
      <w:pPr>
        <w:pStyle w:val="Heading1"/>
        <w:jc w:val="center"/>
        <w:rPr>
          <w:bCs w:val="0"/>
          <w:lang w:val="de-DE"/>
        </w:rPr>
      </w:pPr>
      <w:r>
        <w:rPr>
          <w:bCs w:val="0"/>
          <w:lang w:val="de-DE"/>
        </w:rPr>
        <w:t>Goregaon (E), Mumbai-400 065</w:t>
      </w:r>
    </w:p>
    <w:p w:rsidR="00896C2C" w:rsidRDefault="00896C2C" w:rsidP="00896C2C">
      <w:pPr>
        <w:jc w:val="center"/>
        <w:rPr>
          <w:b/>
          <w:lang w:val="de-DE"/>
        </w:rPr>
      </w:pPr>
      <w:r>
        <w:rPr>
          <w:b/>
          <w:lang w:val="de-DE"/>
        </w:rPr>
        <w:t>Tel.: (022) 28416524, Fax: (022) 28402752</w:t>
      </w:r>
    </w:p>
    <w:p w:rsidR="00896C2C" w:rsidRDefault="00896C2C" w:rsidP="00896C2C">
      <w:pPr>
        <w:jc w:val="center"/>
        <w:rPr>
          <w:b/>
          <w:lang w:val="de-DE"/>
        </w:rPr>
      </w:pPr>
      <w:r>
        <w:rPr>
          <w:b/>
          <w:lang w:val="de-DE"/>
        </w:rPr>
        <w:t>ashima @ igidr.ac.in</w:t>
      </w:r>
    </w:p>
    <w:p w:rsidR="00896C2C" w:rsidRDefault="00896C2C" w:rsidP="00896C2C">
      <w:pPr>
        <w:pStyle w:val="BodyText"/>
        <w:spacing w:line="240" w:lineRule="auto"/>
        <w:rPr>
          <w:bCs w:val="0"/>
        </w:rPr>
      </w:pPr>
      <w:r>
        <w:rPr>
          <w:bCs w:val="0"/>
        </w:rPr>
        <w:t>www.igidr.ac.in /~ashima</w:t>
      </w:r>
    </w:p>
    <w:p w:rsidR="00896C2C" w:rsidRDefault="00896C2C" w:rsidP="00896C2C">
      <w:pPr>
        <w:pStyle w:val="BodyText"/>
        <w:spacing w:line="240" w:lineRule="auto"/>
        <w:rPr>
          <w:bCs w:val="0"/>
        </w:rPr>
      </w:pPr>
    </w:p>
    <w:p w:rsidR="00896C2C" w:rsidRDefault="00896C2C" w:rsidP="00896C2C">
      <w:pPr>
        <w:pStyle w:val="BodyText"/>
        <w:spacing w:line="240" w:lineRule="auto"/>
        <w:rPr>
          <w:bCs w:val="0"/>
        </w:rPr>
      </w:pPr>
    </w:p>
    <w:p w:rsidR="00896C2C" w:rsidRDefault="00896C2C" w:rsidP="00896C2C">
      <w:pPr>
        <w:pStyle w:val="BodyText"/>
        <w:spacing w:line="240" w:lineRule="auto"/>
        <w:rPr>
          <w:bCs w:val="0"/>
        </w:rPr>
      </w:pPr>
    </w:p>
    <w:p w:rsidR="00896C2C" w:rsidRDefault="00896C2C" w:rsidP="00896C2C">
      <w:pPr>
        <w:pStyle w:val="BodyText"/>
        <w:spacing w:line="240" w:lineRule="auto"/>
        <w:rPr>
          <w:bCs w:val="0"/>
        </w:rPr>
      </w:pPr>
      <w:r>
        <w:rPr>
          <w:bCs w:val="0"/>
        </w:rPr>
        <w:t>^^Research Scholar</w:t>
      </w:r>
    </w:p>
    <w:p w:rsidR="00896C2C" w:rsidRDefault="00896C2C" w:rsidP="00896C2C">
      <w:pPr>
        <w:pStyle w:val="BodyText"/>
        <w:spacing w:line="240" w:lineRule="auto"/>
        <w:rPr>
          <w:bCs w:val="0"/>
        </w:rPr>
      </w:pPr>
      <w:r>
        <w:rPr>
          <w:bCs w:val="0"/>
        </w:rPr>
        <w:t>Indira Gandhi Institute of Development Research</w:t>
      </w:r>
    </w:p>
    <w:p w:rsidR="00896C2C" w:rsidRDefault="00896C2C" w:rsidP="00896C2C">
      <w:pPr>
        <w:jc w:val="center"/>
        <w:rPr>
          <w:b/>
          <w:lang w:val="de-DE"/>
        </w:rPr>
      </w:pPr>
      <w:r>
        <w:rPr>
          <w:b/>
          <w:lang w:val="de-DE"/>
        </w:rPr>
        <w:t>Gen. Vaidya Marg, Santosh Nagar,</w:t>
      </w:r>
    </w:p>
    <w:p w:rsidR="00896C2C" w:rsidRDefault="00896C2C" w:rsidP="00896C2C">
      <w:pPr>
        <w:pStyle w:val="Heading1"/>
        <w:jc w:val="center"/>
        <w:rPr>
          <w:bCs w:val="0"/>
          <w:lang w:val="de-DE"/>
        </w:rPr>
      </w:pPr>
      <w:r>
        <w:rPr>
          <w:bCs w:val="0"/>
          <w:lang w:val="de-DE"/>
        </w:rPr>
        <w:t>Goregaon (E), Mumbai-400 065</w:t>
      </w:r>
    </w:p>
    <w:p w:rsidR="00896C2C" w:rsidRDefault="00896C2C" w:rsidP="00896C2C">
      <w:pPr>
        <w:jc w:val="center"/>
        <w:rPr>
          <w:b/>
          <w:lang w:val="de-DE"/>
        </w:rPr>
      </w:pPr>
      <w:r>
        <w:rPr>
          <w:b/>
          <w:lang w:val="de-DE"/>
        </w:rPr>
        <w:t>Tel.: (022) 28416200</w:t>
      </w:r>
    </w:p>
    <w:p w:rsidR="00896C2C" w:rsidRDefault="00896C2C" w:rsidP="00896C2C">
      <w:pPr>
        <w:jc w:val="center"/>
        <w:rPr>
          <w:b/>
          <w:lang w:val="de-DE"/>
        </w:rPr>
      </w:pPr>
      <w:r>
        <w:rPr>
          <w:b/>
          <w:lang w:val="de-DE"/>
        </w:rPr>
        <w:t>shruti @ igidr.ac.in</w:t>
      </w:r>
    </w:p>
    <w:p w:rsidR="00896C2C" w:rsidRDefault="00896C2C" w:rsidP="00896C2C">
      <w:pPr>
        <w:pStyle w:val="BodyText"/>
        <w:spacing w:line="240" w:lineRule="auto"/>
        <w:rPr>
          <w:bCs w:val="0"/>
        </w:rPr>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Default="00896C2C" w:rsidP="00896C2C">
      <w:pPr>
        <w:spacing w:line="360" w:lineRule="auto"/>
        <w:jc w:val="both"/>
      </w:pPr>
    </w:p>
    <w:p w:rsidR="00896C2C" w:rsidRPr="00F40378" w:rsidRDefault="00896C2C" w:rsidP="00896C2C">
      <w:pPr>
        <w:pStyle w:val="Heading1"/>
        <w:spacing w:line="360" w:lineRule="auto"/>
        <w:jc w:val="center"/>
      </w:pPr>
      <w:r w:rsidRPr="00F40378">
        <w:t>Abstract</w:t>
      </w:r>
    </w:p>
    <w:p w:rsidR="00896C2C" w:rsidRPr="004356F8" w:rsidRDefault="00896C2C" w:rsidP="00896C2C">
      <w:pPr>
        <w:spacing w:line="360" w:lineRule="auto"/>
      </w:pPr>
      <w:r w:rsidRPr="004356F8">
        <w:t xml:space="preserve">Stability results for an open economy DSGE adapted to an emerging market (SOEME) with a dualistic structure have the same structure as in the original model, but those derived for </w:t>
      </w:r>
      <w:r w:rsidR="00E31CC2">
        <w:t>a</w:t>
      </w:r>
      <w:r w:rsidRPr="004356F8">
        <w:t xml:space="preserve"> simulated version </w:t>
      </w:r>
      <w:r w:rsidR="00E31CC2">
        <w:t xml:space="preserve">do not lead to the Taylor Principle </w:t>
      </w:r>
      <w:r w:rsidR="004356F8" w:rsidRPr="004356F8">
        <w:t>that the weight on</w:t>
      </w:r>
      <w:r w:rsidRPr="004356F8">
        <w:t xml:space="preserve"> inflation</w:t>
      </w:r>
      <w:r w:rsidR="004356F8" w:rsidRPr="004356F8">
        <w:t xml:space="preserve"> in a policy rule must exceed unity</w:t>
      </w:r>
      <w:r w:rsidRPr="004356F8">
        <w:t xml:space="preserve">, but rather </w:t>
      </w:r>
      <w:r w:rsidR="004356F8" w:rsidRPr="004356F8">
        <w:t xml:space="preserve">if the weight on </w:t>
      </w:r>
      <w:r w:rsidRPr="004356F8">
        <w:t>the output gap</w:t>
      </w:r>
      <w:r w:rsidR="004356F8" w:rsidRPr="004356F8">
        <w:t xml:space="preserve"> is high that on inflation must be low and vice versa</w:t>
      </w:r>
      <w:r w:rsidRPr="004356F8">
        <w:t>. Other rigidities, lags and some degree of backward looking behavior in the simulated SOEME model arising from its calibration to an emerging market</w:t>
      </w:r>
      <w:r w:rsidR="005333AF">
        <w:t xml:space="preserve"> </w:t>
      </w:r>
      <w:r w:rsidRPr="004356F8">
        <w:t xml:space="preserve">may be helping provide a nominal anchor. Estimation of a Taylor rule for India, simulations in the SOEME model itself and a variant with government debt, confirm the analytical result. Implications are, first, optimization </w:t>
      </w:r>
      <w:r w:rsidR="004356F8" w:rsidRPr="004356F8">
        <w:t>i</w:t>
      </w:r>
      <w:r w:rsidRPr="004356F8">
        <w:t xml:space="preserve">s </w:t>
      </w:r>
      <w:r w:rsidR="004356F8" w:rsidRPr="004356F8">
        <w:t xml:space="preserve">more </w:t>
      </w:r>
      <w:r w:rsidRPr="004356F8">
        <w:t xml:space="preserve">effective </w:t>
      </w:r>
      <w:r w:rsidR="004356F8" w:rsidRPr="004356F8">
        <w:t>than</w:t>
      </w:r>
      <w:r w:rsidRPr="004356F8">
        <w:t xml:space="preserve"> following a monetary policy rule. </w:t>
      </w:r>
      <w:r w:rsidR="00E31CC2">
        <w:t xml:space="preserve">The latter is very sensitive to model assumptions. </w:t>
      </w:r>
      <w:r w:rsidRPr="004356F8">
        <w:t>Second, knowledge of the specific rigidities in an economy can give useful inputs for the design of policy—their effect on stability should be more carefully researched.</w:t>
      </w:r>
    </w:p>
    <w:p w:rsidR="00896C2C" w:rsidRDefault="00896C2C" w:rsidP="00896C2C">
      <w:pPr>
        <w:spacing w:line="360" w:lineRule="auto"/>
        <w:rPr>
          <w:i/>
        </w:rPr>
      </w:pPr>
    </w:p>
    <w:p w:rsidR="00896C2C" w:rsidRDefault="00896C2C" w:rsidP="00896C2C">
      <w:pPr>
        <w:spacing w:line="360" w:lineRule="auto"/>
      </w:pPr>
    </w:p>
    <w:p w:rsidR="00896C2C" w:rsidRDefault="00896C2C" w:rsidP="00896C2C">
      <w:pPr>
        <w:spacing w:line="360" w:lineRule="auto"/>
      </w:pPr>
      <w:r>
        <w:t>Keywords: DSGE, emerging economy, rigidities, stability, optimization, Taylor rule</w:t>
      </w:r>
    </w:p>
    <w:p w:rsidR="00896C2C" w:rsidRDefault="00896C2C" w:rsidP="00896C2C">
      <w:pPr>
        <w:spacing w:line="360" w:lineRule="auto"/>
      </w:pPr>
    </w:p>
    <w:p w:rsidR="00896C2C" w:rsidRDefault="00896C2C" w:rsidP="00896C2C">
      <w:pPr>
        <w:spacing w:line="360" w:lineRule="auto"/>
      </w:pPr>
      <w:r>
        <w:t>JEL codes: E26, E52</w:t>
      </w:r>
    </w:p>
    <w:p w:rsidR="00896C2C" w:rsidRDefault="00896C2C" w:rsidP="00896C2C"/>
    <w:p w:rsidR="00896C2C" w:rsidRDefault="00896C2C">
      <w:pPr>
        <w:spacing w:line="360" w:lineRule="auto"/>
        <w:jc w:val="center"/>
        <w:rPr>
          <w:b/>
        </w:rPr>
      </w:pPr>
    </w:p>
    <w:p w:rsidR="00896C2C" w:rsidRDefault="00896C2C">
      <w:pPr>
        <w:spacing w:line="360" w:lineRule="auto"/>
        <w:jc w:val="center"/>
        <w:rPr>
          <w:b/>
        </w:rPr>
      </w:pPr>
    </w:p>
    <w:p w:rsidR="00896C2C" w:rsidRDefault="00896C2C">
      <w:pPr>
        <w:spacing w:line="360" w:lineRule="auto"/>
        <w:jc w:val="center"/>
        <w:rPr>
          <w:b/>
        </w:rPr>
      </w:pPr>
    </w:p>
    <w:p w:rsidR="00896C2C" w:rsidRDefault="00896C2C">
      <w:pPr>
        <w:spacing w:line="360" w:lineRule="auto"/>
        <w:jc w:val="center"/>
        <w:rPr>
          <w:b/>
        </w:rPr>
      </w:pPr>
    </w:p>
    <w:p w:rsidR="00896C2C" w:rsidRDefault="00896C2C">
      <w:pPr>
        <w:spacing w:line="360" w:lineRule="auto"/>
        <w:jc w:val="center"/>
        <w:rPr>
          <w:b/>
        </w:rPr>
      </w:pPr>
    </w:p>
    <w:p w:rsidR="00896C2C" w:rsidRDefault="00896C2C">
      <w:pPr>
        <w:spacing w:line="360" w:lineRule="auto"/>
        <w:jc w:val="center"/>
        <w:rPr>
          <w:b/>
        </w:rPr>
      </w:pPr>
    </w:p>
    <w:p w:rsidR="00896C2C" w:rsidRDefault="00896C2C">
      <w:pPr>
        <w:spacing w:line="360" w:lineRule="auto"/>
        <w:jc w:val="center"/>
        <w:rPr>
          <w:b/>
        </w:rPr>
      </w:pPr>
    </w:p>
    <w:p w:rsidR="000C3BD4" w:rsidRDefault="000C3BD4" w:rsidP="00ED12FC">
      <w:pPr>
        <w:spacing w:line="360" w:lineRule="auto"/>
        <w:rPr>
          <w:b/>
        </w:rPr>
      </w:pPr>
    </w:p>
    <w:p w:rsidR="0079209C" w:rsidRDefault="0079209C" w:rsidP="00ED12FC">
      <w:pPr>
        <w:spacing w:line="360" w:lineRule="auto"/>
        <w:rPr>
          <w:b/>
        </w:rPr>
      </w:pPr>
      <w:r>
        <w:rPr>
          <w:b/>
        </w:rPr>
        <w:t>1. Introduction</w:t>
      </w:r>
    </w:p>
    <w:p w:rsidR="0079209C" w:rsidRDefault="00CA5200" w:rsidP="00ED12FC">
      <w:pPr>
        <w:spacing w:line="360" w:lineRule="auto"/>
        <w:rPr>
          <w:bCs/>
        </w:rPr>
      </w:pPr>
      <w:r>
        <w:rPr>
          <w:bCs/>
        </w:rPr>
        <w:lastRenderedPageBreak/>
        <w:t>We examine basic stability issues</w:t>
      </w:r>
      <w:r w:rsidR="0079209C">
        <w:t xml:space="preserve"> </w:t>
      </w:r>
      <w:r>
        <w:t xml:space="preserve">in a </w:t>
      </w:r>
      <w:r w:rsidR="0079209C">
        <w:t>dynamic stochastic general equilibrium model</w:t>
      </w:r>
      <w:r w:rsidR="0079209C">
        <w:rPr>
          <w:bCs/>
        </w:rPr>
        <w:t xml:space="preserve"> </w:t>
      </w:r>
      <w:r w:rsidR="0079209C">
        <w:t xml:space="preserve">for a </w:t>
      </w:r>
      <w:r w:rsidR="0079209C">
        <w:rPr>
          <w:bCs/>
        </w:rPr>
        <w:t>small open economy (SOE), adapted to an emerging market with two classes (high and low productivity) of consumer-workers</w:t>
      </w:r>
      <w:r w:rsidR="0079209C">
        <w:rPr>
          <w:rStyle w:val="FootnoteReference"/>
          <w:bCs/>
        </w:rPr>
        <w:footnoteReference w:id="3"/>
      </w:r>
      <w:r w:rsidR="0079209C">
        <w:rPr>
          <w:bCs/>
        </w:rPr>
        <w:t xml:space="preserve"> (SOEME). </w:t>
      </w:r>
    </w:p>
    <w:p w:rsidR="0079209C" w:rsidRDefault="0079209C" w:rsidP="00ED12FC">
      <w:pPr>
        <w:spacing w:line="360" w:lineRule="auto"/>
        <w:rPr>
          <w:bCs/>
        </w:rPr>
      </w:pPr>
    </w:p>
    <w:p w:rsidR="0079209C" w:rsidRDefault="0079209C" w:rsidP="00ED12FC">
      <w:pPr>
        <w:spacing w:line="360" w:lineRule="auto"/>
        <w:rPr>
          <w:bCs/>
        </w:rPr>
      </w:pPr>
      <w:r>
        <w:rPr>
          <w:bCs/>
        </w:rPr>
        <w:t>Models with forward-looking behavior can easily be unstable. Sargent and Wallace (1975) demonstrated that with rational expectations prices are indeterminate under an interest rate instrument. But McCallum (1981) l</w:t>
      </w:r>
      <w:r w:rsidR="00CA5200">
        <w:rPr>
          <w:bCs/>
        </w:rPr>
        <w:t xml:space="preserve">ater showed </w:t>
      </w:r>
      <w:r>
        <w:rPr>
          <w:bCs/>
        </w:rPr>
        <w:t xml:space="preserve">indeterminacy only occurs if the Central Bank (CB) places no weight on prices in </w:t>
      </w:r>
      <w:r w:rsidR="004E3245">
        <w:rPr>
          <w:bCs/>
        </w:rPr>
        <w:t>its</w:t>
      </w:r>
      <w:r>
        <w:rPr>
          <w:bCs/>
        </w:rPr>
        <w:t xml:space="preserve"> response. The basic point is some nominal anchor is required to fix the price or inflation level in an economy. The CB response to inflation, or its targeting of nominal money stock, provides such an anchor, but many other rigidities</w:t>
      </w:r>
      <w:r w:rsidR="00CA5200">
        <w:rPr>
          <w:bCs/>
        </w:rPr>
        <w:t xml:space="preserve"> and lags</w:t>
      </w:r>
      <w:r>
        <w:rPr>
          <w:bCs/>
        </w:rPr>
        <w:t xml:space="preserve"> may serve </w:t>
      </w:r>
      <w:r w:rsidR="00CA5200">
        <w:rPr>
          <w:bCs/>
        </w:rPr>
        <w:t>to anchor</w:t>
      </w:r>
      <w:r>
        <w:rPr>
          <w:bCs/>
        </w:rPr>
        <w:t xml:space="preserve"> </w:t>
      </w:r>
      <w:r w:rsidR="00CA5200">
        <w:rPr>
          <w:bCs/>
        </w:rPr>
        <w:t>inflation</w:t>
      </w:r>
      <w:r>
        <w:rPr>
          <w:bCs/>
        </w:rPr>
        <w:t xml:space="preserve"> (Friedman</w:t>
      </w:r>
      <w:r w:rsidR="004E3245">
        <w:rPr>
          <w:bCs/>
        </w:rPr>
        <w:t>,</w:t>
      </w:r>
      <w:r>
        <w:rPr>
          <w:bCs/>
        </w:rPr>
        <w:t xml:space="preserve"> 1990).</w:t>
      </w:r>
    </w:p>
    <w:p w:rsidR="0079209C" w:rsidRDefault="0079209C" w:rsidP="00ED12FC">
      <w:pPr>
        <w:spacing w:line="360" w:lineRule="auto"/>
        <w:rPr>
          <w:bCs/>
        </w:rPr>
      </w:pPr>
    </w:p>
    <w:p w:rsidR="0079209C" w:rsidRDefault="0079209C" w:rsidP="00ED12FC">
      <w:pPr>
        <w:spacing w:line="360" w:lineRule="auto"/>
      </w:pPr>
      <w:r>
        <w:rPr>
          <w:bCs/>
        </w:rPr>
        <w:t>The NKE literature (Woodford, 2003) has a new justification for a large CB response to inflation. Apart from its contribution to stability,</w:t>
      </w:r>
      <w:r w:rsidR="00E31CC2">
        <w:rPr>
          <w:bCs/>
        </w:rPr>
        <w:t xml:space="preserve"> it prevents higher prices</w:t>
      </w:r>
      <w:r>
        <w:rPr>
          <w:bCs/>
        </w:rPr>
        <w:t xml:space="preserve"> being set in response to expected excess demand. If prices are sticky, </w:t>
      </w:r>
      <w:r w:rsidR="00E31CC2">
        <w:rPr>
          <w:bCs/>
        </w:rPr>
        <w:t>this</w:t>
      </w:r>
      <w:r>
        <w:rPr>
          <w:bCs/>
        </w:rPr>
        <w:t xml:space="preserve"> creates inflation persistence. Therefore the literature </w:t>
      </w:r>
      <w:r w:rsidR="00CA5200">
        <w:rPr>
          <w:bCs/>
        </w:rPr>
        <w:t>justifie</w:t>
      </w:r>
      <w:r>
        <w:rPr>
          <w:bCs/>
        </w:rPr>
        <w:t xml:space="preserve">s a Taylor type monetary policy rule, with the CB’s response to inflation, exceeding unity. Moreover, it is shown analytically, in the canonical forward-looking model, that such a response exceeding unity is necessary for stability.  The implication is a monetary policy rule can perform better than optimization. </w:t>
      </w:r>
    </w:p>
    <w:p w:rsidR="0079209C" w:rsidRDefault="0079209C" w:rsidP="00ED12FC">
      <w:pPr>
        <w:spacing w:line="360" w:lineRule="auto"/>
      </w:pPr>
    </w:p>
    <w:p w:rsidR="00252E6F" w:rsidRDefault="00252E6F" w:rsidP="00ED12FC">
      <w:pPr>
        <w:spacing w:line="360" w:lineRule="auto"/>
      </w:pPr>
      <w:r>
        <w:t>A monetary policy rule can also be justified as a credible commitment</w:t>
      </w:r>
      <w:r w:rsidR="00646A6D">
        <w:t xml:space="preserve">, preventing </w:t>
      </w:r>
      <w:r w:rsidR="009D0DDD">
        <w:t xml:space="preserve">a CB’s </w:t>
      </w:r>
      <w:r w:rsidR="00646A6D">
        <w:t>opportunistic behavior resulting in an inflation bias. If future policy affects the output gap and future output gaps affect inflation</w:t>
      </w:r>
      <w:r w:rsidR="004356F8">
        <w:t>,</w:t>
      </w:r>
      <w:r w:rsidR="00646A6D">
        <w:t xml:space="preserve"> credible policy may reduce inflation with lower output cost. This argument holds even if the CB has no inflation bias, as in emerging democracies where inflation hurts the poor and loses votes (Goyal, </w:t>
      </w:r>
      <w:r w:rsidR="009603CB">
        <w:t>2007</w:t>
      </w:r>
      <w:r w:rsidR="00646A6D">
        <w:t xml:space="preserve">). But in a discretionary optimum also, even though the CB reoptimizes every period, it </w:t>
      </w:r>
      <w:r w:rsidR="00E31CC2">
        <w:t>may have</w:t>
      </w:r>
      <w:r w:rsidR="00646A6D">
        <w:t xml:space="preserve"> no incentive to create surprise inflation, and the private sector recognizes this (</w:t>
      </w:r>
      <w:r w:rsidR="009603CB">
        <w:t>Clarida et. al. 1999).</w:t>
      </w:r>
      <w:r w:rsidR="00646A6D">
        <w:t xml:space="preserve">   </w:t>
      </w:r>
    </w:p>
    <w:p w:rsidR="002C63FE" w:rsidRDefault="002C63FE" w:rsidP="00ED12FC">
      <w:pPr>
        <w:spacing w:line="360" w:lineRule="auto"/>
      </w:pPr>
    </w:p>
    <w:p w:rsidR="001A4A4D" w:rsidRDefault="004356F8" w:rsidP="00ED12FC">
      <w:pPr>
        <w:spacing w:line="360" w:lineRule="auto"/>
      </w:pPr>
      <w:r>
        <w:lastRenderedPageBreak/>
        <w:t>Many studies, surveyed in Gal</w:t>
      </w:r>
      <w:r w:rsidR="008C67B5">
        <w:rPr>
          <w:rStyle w:val="txt"/>
        </w:rPr>
        <w:t>í</w:t>
      </w:r>
      <w:r>
        <w:t xml:space="preserve"> et. al (2004), have shown that the </w:t>
      </w:r>
      <w:r w:rsidR="00E31CC2">
        <w:t xml:space="preserve">Taylor Principle, or </w:t>
      </w:r>
      <w:r>
        <w:t>weight on inflation greater than unity, as necessary for stability of an interest rate rule, is sensitive to the assumptions of the model, and may accordingly have to be strengthened or weakened. In the Gal</w:t>
      </w:r>
      <w:r w:rsidR="008C67B5">
        <w:rPr>
          <w:rStyle w:val="txt"/>
        </w:rPr>
        <w:t>í</w:t>
      </w:r>
      <w:r>
        <w:t xml:space="preserve"> et. al (2004) model </w:t>
      </w:r>
      <w:r w:rsidR="001A4A4D">
        <w:t xml:space="preserve">a share of </w:t>
      </w:r>
      <w:r>
        <w:t>rule-of-thumb-consumers</w:t>
      </w:r>
      <w:r w:rsidR="001A4A4D">
        <w:t>, implies demand rises with output, requiring a higher weight on inflation for stability. Our model differs in that it has a share of subsistence consumers whose consumption i</w:t>
      </w:r>
      <w:r w:rsidR="008C67B5">
        <w:t>s independent of income.</w:t>
      </w:r>
      <w:r w:rsidR="001A4A4D">
        <w:t xml:space="preserve"> </w:t>
      </w:r>
      <w:r w:rsidR="008C67B5">
        <w:t>T</w:t>
      </w:r>
      <w:r w:rsidR="001A4A4D">
        <w:t>he stability results are also very different. But, like this literature, it confirms the fragility of policy rules.</w:t>
      </w:r>
    </w:p>
    <w:p w:rsidR="004356F8" w:rsidRDefault="001A4A4D" w:rsidP="00ED12FC">
      <w:pPr>
        <w:spacing w:line="360" w:lineRule="auto"/>
      </w:pPr>
      <w:r>
        <w:t xml:space="preserve">  </w:t>
      </w:r>
      <w:r w:rsidR="004356F8">
        <w:t xml:space="preserve"> </w:t>
      </w:r>
    </w:p>
    <w:p w:rsidR="0079209C" w:rsidRDefault="0079209C" w:rsidP="00ED12FC">
      <w:pPr>
        <w:spacing w:line="360" w:lineRule="auto"/>
      </w:pPr>
      <w:r>
        <w:t>We derive the stability result for the canonical SOEME, and it turns out to have the same structure as the result for the SOE. The simulated SOEME model, however, ha</w:t>
      </w:r>
      <w:r w:rsidR="00CA5200">
        <w:t>s</w:t>
      </w:r>
      <w:r>
        <w:t xml:space="preserve"> </w:t>
      </w:r>
      <w:r w:rsidR="00CA5200">
        <w:t>more</w:t>
      </w:r>
      <w:r>
        <w:t xml:space="preserve"> lags and some degree of backward looking behavior arising from its calibration to an emerging market with many types of rigidities. The stability result derived for the simulated model turns out to have a very different structure. There is no restriction </w:t>
      </w:r>
      <w:r w:rsidR="004356F8" w:rsidRPr="004356F8">
        <w:t>that the weight on inflation in a policy rule must exceed unity, but rather if the weight on the output gap is high that on inflation must be low and vice versa.</w:t>
      </w:r>
      <w:r>
        <w:t xml:space="preserve"> Different types of rigidities may be helping provide a nominal anchor.  </w:t>
      </w:r>
    </w:p>
    <w:p w:rsidR="0079209C" w:rsidRDefault="0079209C" w:rsidP="00ED12FC">
      <w:pPr>
        <w:spacing w:line="360" w:lineRule="auto"/>
      </w:pPr>
    </w:p>
    <w:p w:rsidR="0079209C" w:rsidRDefault="0079209C" w:rsidP="00ED12FC">
      <w:pPr>
        <w:spacing w:line="360" w:lineRule="auto"/>
      </w:pPr>
      <w:r>
        <w:t xml:space="preserve">The analytical result is explored through simulations in the SOEME model itself and in a variant that also adds an equation for the evolution of government debt. The debt model also </w:t>
      </w:r>
      <w:r w:rsidR="00CA5200">
        <w:t>demonstrate</w:t>
      </w:r>
      <w:r>
        <w:t xml:space="preserve">s the contribution of rigidities in relaxing stability conditions. </w:t>
      </w:r>
    </w:p>
    <w:p w:rsidR="0079209C" w:rsidRDefault="0079209C" w:rsidP="00ED12FC">
      <w:pPr>
        <w:spacing w:line="360" w:lineRule="auto"/>
      </w:pPr>
    </w:p>
    <w:p w:rsidR="0079209C" w:rsidRDefault="0079209C" w:rsidP="00ED12FC">
      <w:pPr>
        <w:spacing w:line="360" w:lineRule="auto"/>
      </w:pPr>
      <w:r>
        <w:t xml:space="preserve">The implication is </w:t>
      </w:r>
      <w:r w:rsidR="004E3245">
        <w:t xml:space="preserve">consumer-welfare based </w:t>
      </w:r>
      <w:r>
        <w:t xml:space="preserve">optimization </w:t>
      </w:r>
      <w:r w:rsidR="0017720F">
        <w:t>is</w:t>
      </w:r>
      <w:r>
        <w:t xml:space="preserve"> </w:t>
      </w:r>
      <w:r w:rsidR="001A4A4D">
        <w:t>more</w:t>
      </w:r>
      <w:r>
        <w:t xml:space="preserve"> effective </w:t>
      </w:r>
      <w:r w:rsidR="001A4A4D">
        <w:t>than</w:t>
      </w:r>
      <w:r>
        <w:t xml:space="preserve"> following a monetary policy rule. If a rule is followed</w:t>
      </w:r>
      <w:r w:rsidR="004E3245">
        <w:t>,</w:t>
      </w:r>
      <w:r>
        <w:t xml:space="preserve"> the response coefficients need not exceed unity. </w:t>
      </w:r>
      <w:r w:rsidR="00252E6F">
        <w:t xml:space="preserve">The practice of monetary policy in India is consistent with these results. </w:t>
      </w:r>
      <w:r>
        <w:t>The calibrated CB’s reaction function in the SOEME, and a Taylor-type monetary policy rule</w:t>
      </w:r>
      <w:r w:rsidR="001C6E61">
        <w:t xml:space="preserve"> estimated with Indian data</w:t>
      </w:r>
      <w:r w:rsidR="001A4A4D">
        <w:t>,</w:t>
      </w:r>
      <w:r>
        <w:t xml:space="preserve"> </w:t>
      </w:r>
      <w:r w:rsidR="001A4A4D">
        <w:t xml:space="preserve">but with lagged policy rates bringing in interest rate smoothing, </w:t>
      </w:r>
      <w:r>
        <w:t>both show response coefficients much smaller than unity.</w:t>
      </w:r>
      <w:r w:rsidR="001C6E61">
        <w:t xml:space="preserve"> Thus</w:t>
      </w:r>
      <w:r w:rsidR="00FB1F78">
        <w:t>, during the estimation period,</w:t>
      </w:r>
      <w:r w:rsidR="001C6E61">
        <w:t xml:space="preserve"> policy escaped the </w:t>
      </w:r>
      <w:r w:rsidR="00FB1F78">
        <w:t>excessive focus on one</w:t>
      </w:r>
      <w:r w:rsidR="001C6E61">
        <w:t xml:space="preserve"> objective that a mechanical </w:t>
      </w:r>
      <w:r w:rsidR="00FB1F78">
        <w:t>rule could entail in Indian cond</w:t>
      </w:r>
      <w:r w:rsidR="001C6E61">
        <w:t>itions.</w:t>
      </w:r>
      <w:r w:rsidR="0017720F">
        <w:t xml:space="preserve"> Analytical solutions of responses to monetary policy shocks in the SOEME model with a monetary policy rule are directionally similar to </w:t>
      </w:r>
      <w:r w:rsidR="001C6E61">
        <w:t xml:space="preserve">the </w:t>
      </w:r>
      <w:r w:rsidR="0017720F">
        <w:t xml:space="preserve">simulated responses </w:t>
      </w:r>
      <w:r w:rsidR="001C6E61">
        <w:t>of</w:t>
      </w:r>
      <w:r w:rsidR="0017720F">
        <w:t xml:space="preserve"> the calibrated optimizing model.</w:t>
      </w:r>
    </w:p>
    <w:p w:rsidR="0079209C" w:rsidRDefault="0079209C" w:rsidP="00ED12FC">
      <w:pPr>
        <w:spacing w:line="360" w:lineRule="auto"/>
      </w:pPr>
    </w:p>
    <w:p w:rsidR="0079209C" w:rsidRDefault="0079209C" w:rsidP="00ED12FC">
      <w:pPr>
        <w:spacing w:line="360" w:lineRule="auto"/>
      </w:pPr>
      <w:r>
        <w:lastRenderedPageBreak/>
        <w:t xml:space="preserve">The result may apply more generally than just </w:t>
      </w:r>
      <w:r w:rsidR="001C6E61">
        <w:t>for</w:t>
      </w:r>
      <w:r>
        <w:t xml:space="preserve"> emerging markets to the exte</w:t>
      </w:r>
      <w:r w:rsidR="004E3245">
        <w:t xml:space="preserve">nt </w:t>
      </w:r>
      <w:r>
        <w:t>advanced economies also have many types of frictions.</w:t>
      </w:r>
    </w:p>
    <w:p w:rsidR="0079209C" w:rsidRDefault="0079209C" w:rsidP="00ED12FC">
      <w:pPr>
        <w:spacing w:line="360" w:lineRule="auto"/>
      </w:pPr>
    </w:p>
    <w:p w:rsidR="0079209C" w:rsidRDefault="0079209C" w:rsidP="00ED12FC">
      <w:pPr>
        <w:spacing w:line="360" w:lineRule="auto"/>
      </w:pPr>
      <w:r>
        <w:rPr>
          <w:bCs/>
        </w:rPr>
        <w:t>The structure of the paper is as follows:</w:t>
      </w:r>
      <w:r>
        <w:t xml:space="preserve"> Section 2 presents </w:t>
      </w:r>
      <w:r w:rsidR="005333AF">
        <w:t>the</w:t>
      </w:r>
      <w:r>
        <w:t xml:space="preserve"> basic SOEME</w:t>
      </w:r>
      <w:r w:rsidR="005333AF">
        <w:t xml:space="preserve"> model</w:t>
      </w:r>
      <w:r>
        <w:t>; section 3 derives the implications of stability for a policy rule; section 4 discusses analytical and simulated responses to shocks; section 5 presents estimated monetary policy rule, before section 6 concludes. Derivations are in appendices.</w:t>
      </w:r>
    </w:p>
    <w:p w:rsidR="0079209C" w:rsidRDefault="0079209C" w:rsidP="00ED12FC">
      <w:pPr>
        <w:spacing w:line="360" w:lineRule="auto"/>
      </w:pPr>
    </w:p>
    <w:p w:rsidR="0079209C" w:rsidRDefault="0079209C" w:rsidP="00ED12FC">
      <w:pPr>
        <w:spacing w:line="360" w:lineRule="auto"/>
        <w:rPr>
          <w:b/>
        </w:rPr>
      </w:pPr>
      <w:r>
        <w:rPr>
          <w:b/>
        </w:rPr>
        <w:t>2. A Small Open Emerging Market Model</w:t>
      </w:r>
    </w:p>
    <w:p w:rsidR="0079209C" w:rsidRDefault="0079209C" w:rsidP="00ED12FC">
      <w:pPr>
        <w:spacing w:line="360" w:lineRule="auto"/>
      </w:pPr>
      <w:r>
        <w:t>A microfounded dynamic stochastic general equilibrium model</w:t>
      </w:r>
      <w:r>
        <w:rPr>
          <w:bCs/>
        </w:rPr>
        <w:t xml:space="preserve"> </w:t>
      </w:r>
      <w:r>
        <w:t xml:space="preserve">for a </w:t>
      </w:r>
      <w:r>
        <w:rPr>
          <w:bCs/>
        </w:rPr>
        <w:t xml:space="preserve">small open emerging market derives the following aggregate demand (AD) </w:t>
      </w:r>
      <w:r>
        <w:t xml:space="preserve">(2) and </w:t>
      </w:r>
      <w:r>
        <w:rPr>
          <w:bCs/>
        </w:rPr>
        <w:t xml:space="preserve">supply curves </w:t>
      </w:r>
      <w:r>
        <w:t>AS (3)</w:t>
      </w:r>
      <w:r>
        <w:rPr>
          <w:bCs/>
        </w:rPr>
        <w:t xml:space="preserve"> (Goyal 2011), subject to which the central bank (CB)</w:t>
      </w:r>
      <w:r>
        <w:t xml:space="preserve"> minimizes a loss function (1)</w:t>
      </w:r>
      <w:r w:rsidR="004E3245">
        <w:t>, derived from consumers’ welfare</w:t>
      </w:r>
      <w:r>
        <w:t xml:space="preserve">. The loss function is a weighted average of output, inflation and interest rate deviations from equilibrium values: </w:t>
      </w:r>
    </w:p>
    <w:p w:rsidR="0079209C" w:rsidRDefault="0079209C" w:rsidP="00A467A2">
      <w:pPr>
        <w:spacing w:line="360" w:lineRule="auto"/>
        <w:ind w:left="2160" w:firstLine="720"/>
      </w:pPr>
      <w:r w:rsidRPr="00F7160F">
        <w:rPr>
          <w:position w:val="-12"/>
        </w:rPr>
        <w:object w:dxaOrig="2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75pt" o:ole="">
            <v:imagedata r:id="rId8" o:title=""/>
          </v:shape>
          <o:OLEObject Type="Embed" ProgID="Equation.3" ShapeID="_x0000_i1025" DrawAspect="Content" ObjectID="_1410345166" r:id="rId9"/>
        </w:object>
      </w:r>
      <w:r w:rsidR="002C63FE">
        <w:tab/>
      </w:r>
      <w:r w:rsidR="002C63FE">
        <w:tab/>
      </w:r>
      <w:r w:rsidR="002C63FE">
        <w:tab/>
        <w:t xml:space="preserve"> </w:t>
      </w:r>
      <w:r w:rsidR="00A467A2">
        <w:t xml:space="preserve">            </w:t>
      </w:r>
      <w:r>
        <w:t>(1)</w:t>
      </w:r>
    </w:p>
    <w:p w:rsidR="00ED12FC" w:rsidRDefault="00ED12FC">
      <w:pPr>
        <w:spacing w:line="360" w:lineRule="auto"/>
        <w:ind w:left="2880" w:firstLine="720"/>
      </w:pPr>
    </w:p>
    <w:p w:rsidR="0079209C" w:rsidRDefault="0079209C" w:rsidP="00ED12FC">
      <w:pPr>
        <w:spacing w:line="360" w:lineRule="auto"/>
      </w:pPr>
      <w:r>
        <w:t>The last is a smoothing term that prevents large changes in the policy rate, where i</w:t>
      </w:r>
      <w:r>
        <w:rPr>
          <w:vertAlign w:val="subscript"/>
        </w:rPr>
        <w:t>t</w:t>
      </w:r>
      <w:r>
        <w:t xml:space="preserve"> is the riskless nominal interest rate. The first is the output gap </w:t>
      </w:r>
      <w:r w:rsidRPr="00F7160F">
        <w:rPr>
          <w:position w:val="-12"/>
        </w:rPr>
        <w:object w:dxaOrig="1219" w:dyaOrig="360">
          <v:shape id="_x0000_i1026" type="#_x0000_t75" style="width:60.75pt;height:18pt" o:ole="">
            <v:imagedata r:id="rId10" o:title=""/>
          </v:shape>
          <o:OLEObject Type="Embed" ProgID="Equation.3" ShapeID="_x0000_i1026" DrawAspect="Content" ObjectID="_1410345167" r:id="rId11"/>
        </w:object>
      </w:r>
      <w:r>
        <w:t>, and the second term, inflation, can be either domestic inflation, π</w:t>
      </w:r>
      <w:r>
        <w:rPr>
          <w:vertAlign w:val="subscript"/>
        </w:rPr>
        <w:t>H</w:t>
      </w:r>
      <w:r>
        <w:t xml:space="preserve">, or consumer price inflation </w:t>
      </w:r>
      <w:r w:rsidRPr="00F7160F">
        <w:rPr>
          <w:position w:val="-10"/>
        </w:rPr>
        <w:object w:dxaOrig="1280" w:dyaOrig="320">
          <v:shape id="_x0000_i1027" type="#_x0000_t75" style="width:63.75pt;height:15.75pt" o:ole="">
            <v:imagedata r:id="rId12" o:title=""/>
          </v:shape>
          <o:OLEObject Type="Embed" ProgID="Equation.3" ShapeID="_x0000_i1027" DrawAspect="Content" ObjectID="_1410345168" r:id="rId13"/>
        </w:object>
      </w:r>
      <w:r>
        <w:t xml:space="preserve"> (where p</w:t>
      </w:r>
      <w:r>
        <w:rPr>
          <w:vertAlign w:val="subscript"/>
        </w:rPr>
        <w:t>t</w:t>
      </w:r>
      <w:r>
        <w:t xml:space="preserve"> </w:t>
      </w:r>
      <w:r>
        <w:sym w:font="Symbol" w:char="F0BA"/>
      </w:r>
      <w:r>
        <w:t xml:space="preserve"> log P</w:t>
      </w:r>
      <w:r>
        <w:rPr>
          <w:vertAlign w:val="subscript"/>
        </w:rPr>
        <w:t>t</w:t>
      </w:r>
      <w:r>
        <w:t>). The CB minimizes (1) subject to the AD (2) and AS (3). The dynamic AD equation for the SOEME is:</w:t>
      </w:r>
    </w:p>
    <w:p w:rsidR="0079209C" w:rsidRDefault="0079209C">
      <w:pPr>
        <w:tabs>
          <w:tab w:val="num" w:pos="720"/>
        </w:tabs>
        <w:spacing w:line="360" w:lineRule="auto"/>
      </w:pPr>
      <w:r>
        <w:tab/>
      </w:r>
      <w:r>
        <w:tab/>
      </w:r>
      <w:r>
        <w:tab/>
      </w:r>
      <w:r w:rsidRPr="00F7160F">
        <w:rPr>
          <w:position w:val="-30"/>
        </w:rPr>
        <w:object w:dxaOrig="3960" w:dyaOrig="680">
          <v:shape id="_x0000_i1028" type="#_x0000_t75" style="width:211.5pt;height:36pt" o:ole="">
            <v:imagedata r:id="rId14" o:title=""/>
          </v:shape>
          <o:OLEObject Type="Embed" ProgID="Equation.3" ShapeID="_x0000_i1028" DrawAspect="Content" ObjectID="_1410345169" r:id="rId15"/>
        </w:object>
      </w:r>
      <w:r w:rsidR="002C63FE">
        <w:tab/>
      </w:r>
      <w:r w:rsidR="002C63FE">
        <w:tab/>
      </w:r>
      <w:r w:rsidR="002C63FE">
        <w:tab/>
        <w:t xml:space="preserve"> </w:t>
      </w:r>
      <w:r>
        <w:t>(2)</w:t>
      </w:r>
    </w:p>
    <w:p w:rsidR="00ED12FC" w:rsidRDefault="00ED12FC">
      <w:pPr>
        <w:tabs>
          <w:tab w:val="num" w:pos="720"/>
        </w:tabs>
        <w:spacing w:line="360" w:lineRule="auto"/>
      </w:pPr>
    </w:p>
    <w:p w:rsidR="0079209C" w:rsidRDefault="0079209C">
      <w:pPr>
        <w:tabs>
          <w:tab w:val="num" w:pos="720"/>
        </w:tabs>
        <w:spacing w:line="360" w:lineRule="auto"/>
      </w:pPr>
      <w:r>
        <w:t xml:space="preserve">Where: </w:t>
      </w:r>
      <w:r w:rsidRPr="00F7160F">
        <w:rPr>
          <w:position w:val="-14"/>
        </w:rPr>
        <w:object w:dxaOrig="7360" w:dyaOrig="420">
          <v:shape id="_x0000_i1029" type="#_x0000_t75" style="width:368.25pt;height:21pt" o:ole="">
            <v:imagedata r:id="rId16" o:title=""/>
          </v:shape>
          <o:OLEObject Type="Embed" ProgID="Equation.3" ShapeID="_x0000_i1029" DrawAspect="Content" ObjectID="_1410345170" r:id="rId17"/>
        </w:object>
      </w:r>
    </w:p>
    <w:p w:rsidR="0079209C" w:rsidRDefault="0079209C">
      <w:pPr>
        <w:spacing w:line="360" w:lineRule="auto"/>
      </w:pPr>
      <w:r>
        <w:t xml:space="preserve">  </w:t>
      </w:r>
      <w:r>
        <w:tab/>
      </w:r>
      <w:r>
        <w:tab/>
      </w:r>
      <w:r w:rsidRPr="00F7160F">
        <w:rPr>
          <w:position w:val="-10"/>
        </w:rPr>
        <w:object w:dxaOrig="1340" w:dyaOrig="320">
          <v:shape id="_x0000_i1030" type="#_x0000_t75" style="width:66.75pt;height:15.75pt" o:ole="">
            <v:imagedata r:id="rId18" o:title=""/>
          </v:shape>
          <o:OLEObject Type="Embed" ProgID="Equation.3" ShapeID="_x0000_i1030" DrawAspect="Content" ObjectID="_1410345171" r:id="rId19"/>
        </w:object>
      </w:r>
      <w:r>
        <w:t xml:space="preserve">, </w:t>
      </w:r>
      <w:r w:rsidRPr="00F7160F">
        <w:rPr>
          <w:position w:val="-30"/>
        </w:rPr>
        <w:object w:dxaOrig="1320" w:dyaOrig="680">
          <v:shape id="_x0000_i1031" type="#_x0000_t75" style="width:65.25pt;height:33pt" o:ole="">
            <v:imagedata r:id="rId20" o:title=""/>
          </v:shape>
          <o:OLEObject Type="Embed" ProgID="Equation.3" ShapeID="_x0000_i1031" DrawAspect="Content" ObjectID="_1410345172" r:id="rId21"/>
        </w:object>
      </w:r>
      <w:r>
        <w:t xml:space="preserve">, </w:t>
      </w:r>
      <w:r w:rsidRPr="00F7160F">
        <w:rPr>
          <w:position w:val="-28"/>
        </w:rPr>
        <w:object w:dxaOrig="1080" w:dyaOrig="639">
          <v:shape id="_x0000_i1032" type="#_x0000_t75" style="width:63.75pt;height:37.5pt" o:ole="">
            <v:imagedata r:id="rId22" o:title=""/>
          </v:shape>
          <o:OLEObject Type="Embed" ProgID="Equation.3" ShapeID="_x0000_i1032" DrawAspect="Content" ObjectID="_1410345173" r:id="rId23"/>
        </w:object>
      </w:r>
      <w:r>
        <w:t>,</w:t>
      </w:r>
      <w:r w:rsidRPr="00F7160F">
        <w:rPr>
          <w:position w:val="-10"/>
        </w:rPr>
        <w:object w:dxaOrig="1380" w:dyaOrig="300">
          <v:shape id="_x0000_i1033" type="#_x0000_t75" style="width:76.5pt;height:17.25pt" o:ole="">
            <v:imagedata r:id="rId24" o:title=""/>
          </v:shape>
          <o:OLEObject Type="Embed" ProgID="Equation.3" ShapeID="_x0000_i1033" DrawAspect="Content" ObjectID="_1410345174" r:id="rId25"/>
        </w:object>
      </w:r>
      <w:r>
        <w:t xml:space="preserve">, </w:t>
      </w:r>
      <w:r>
        <w:tab/>
      </w:r>
      <w:r>
        <w:tab/>
      </w:r>
      <w:r>
        <w:tab/>
      </w:r>
      <w:r w:rsidRPr="00F7160F">
        <w:rPr>
          <w:position w:val="-28"/>
        </w:rPr>
        <w:object w:dxaOrig="1960" w:dyaOrig="639">
          <v:shape id="_x0000_i1034" type="#_x0000_t75" style="width:98.25pt;height:32.25pt" o:ole="">
            <v:imagedata r:id="rId26" o:title=""/>
          </v:shape>
          <o:OLEObject Type="Embed" ProgID="Equation.3" ShapeID="_x0000_i1034" DrawAspect="Content" ObjectID="_1410345175" r:id="rId27"/>
        </w:object>
      </w:r>
      <w:r>
        <w:t xml:space="preserve">, </w:t>
      </w:r>
      <w:r w:rsidRPr="00F7160F">
        <w:rPr>
          <w:position w:val="-10"/>
        </w:rPr>
        <w:object w:dxaOrig="1900" w:dyaOrig="300">
          <v:shape id="_x0000_i1035" type="#_x0000_t75" style="width:110.25pt;height:14.25pt" o:ole="">
            <v:imagedata r:id="rId28" o:title=""/>
          </v:shape>
          <o:OLEObject Type="Embed" ProgID="Equation.3" ShapeID="_x0000_i1035" DrawAspect="Content" ObjectID="_1410345176" r:id="rId29"/>
        </w:object>
      </w:r>
      <w:r>
        <w:t xml:space="preserve">, </w:t>
      </w:r>
      <w:r w:rsidRPr="00F7160F">
        <w:rPr>
          <w:position w:val="-10"/>
        </w:rPr>
        <w:object w:dxaOrig="2200" w:dyaOrig="320">
          <v:shape id="_x0000_i1036" type="#_x0000_t75" style="width:110.25pt;height:15.75pt" o:ole="">
            <v:imagedata r:id="rId30" o:title=""/>
          </v:shape>
          <o:OLEObject Type="Embed" ProgID="Equation.3" ShapeID="_x0000_i1036" DrawAspect="Content" ObjectID="_1410345177" r:id="rId31"/>
        </w:object>
      </w:r>
      <w:r>
        <w:tab/>
      </w:r>
    </w:p>
    <w:p w:rsidR="0079209C" w:rsidRDefault="0079209C" w:rsidP="00ED12FC">
      <w:pPr>
        <w:spacing w:line="360" w:lineRule="auto"/>
      </w:pPr>
    </w:p>
    <w:p w:rsidR="0079209C" w:rsidRDefault="0079209C" w:rsidP="00ED12FC">
      <w:pPr>
        <w:spacing w:line="360" w:lineRule="auto"/>
      </w:pPr>
      <w:r>
        <w:t>The dynamic AS is:</w:t>
      </w:r>
    </w:p>
    <w:p w:rsidR="0079209C" w:rsidRDefault="0079209C" w:rsidP="00ED12FC">
      <w:pPr>
        <w:spacing w:line="360" w:lineRule="auto"/>
        <w:ind w:left="720" w:firstLine="720"/>
      </w:pPr>
      <w:r w:rsidRPr="00F7160F">
        <w:rPr>
          <w:position w:val="-12"/>
        </w:rPr>
        <w:object w:dxaOrig="4560" w:dyaOrig="320">
          <v:shape id="_x0000_i1037" type="#_x0000_t75" style="width:263.25pt;height:21pt" o:ole="">
            <v:imagedata r:id="rId32" o:title=""/>
          </v:shape>
          <o:OLEObject Type="Embed" ProgID="Equation.3" ShapeID="_x0000_i1037" DrawAspect="Content" ObjectID="_1410345178" r:id="rId33"/>
        </w:object>
      </w:r>
      <w:r w:rsidR="002C63FE">
        <w:tab/>
      </w:r>
      <w:r w:rsidR="002C63FE">
        <w:tab/>
        <w:t xml:space="preserve"> </w:t>
      </w:r>
      <w:r>
        <w:t>(3)</w:t>
      </w:r>
    </w:p>
    <w:p w:rsidR="00ED12FC" w:rsidRDefault="00ED12FC" w:rsidP="00ED12FC">
      <w:pPr>
        <w:spacing w:line="360" w:lineRule="auto"/>
        <w:ind w:left="720" w:firstLine="720"/>
      </w:pPr>
    </w:p>
    <w:p w:rsidR="0079209C" w:rsidRDefault="0079209C" w:rsidP="00ED12FC">
      <w:pPr>
        <w:spacing w:line="360" w:lineRule="auto"/>
      </w:pPr>
      <w:r>
        <w:t>Lower case letters are logs of the respective variables</w:t>
      </w:r>
      <w:r w:rsidR="00A06051">
        <w:t>,</w:t>
      </w:r>
      <w:r w:rsidR="00A06051" w:rsidRPr="00A06051">
        <w:rPr>
          <w:position w:val="-10"/>
        </w:rPr>
        <w:object w:dxaOrig="1579" w:dyaOrig="340">
          <v:shape id="_x0000_i1038" type="#_x0000_t75" style="width:85.5pt;height:18.75pt" o:ole="">
            <v:imagedata r:id="rId34" o:title=""/>
          </v:shape>
          <o:OLEObject Type="Embed" ProgID="Equation.3" ShapeID="_x0000_i1038" DrawAspect="Content" ObjectID="_1410345179" r:id="rId35"/>
        </w:object>
      </w:r>
      <w:r w:rsidR="00A06051">
        <w:t>, is the response of inflation to the output gap</w:t>
      </w:r>
      <w:r>
        <w:t xml:space="preserve">. Since empirical estimations and the dominance of administered pricing in an emerging market (EM) suggests that past inflation affects current inflation, the AS (3) has a positive </w:t>
      </w:r>
      <w:r>
        <w:sym w:font="Symbol" w:char="F067"/>
      </w:r>
      <w:r>
        <w:rPr>
          <w:vertAlign w:val="subscript"/>
        </w:rPr>
        <w:t>b</w:t>
      </w:r>
      <w:r>
        <w:t xml:space="preserve"> as the share of lagged and </w:t>
      </w:r>
      <w:r>
        <w:sym w:font="Symbol" w:char="F067"/>
      </w:r>
      <w:r>
        <w:rPr>
          <w:vertAlign w:val="subscript"/>
        </w:rPr>
        <w:t>f</w:t>
      </w:r>
      <w:r>
        <w:t xml:space="preserve"> the share of forward-looking inflation. Table 1 explains the parameters and gives their calibrated values. </w:t>
      </w:r>
    </w:p>
    <w:p w:rsidR="0079209C" w:rsidRDefault="0079209C" w:rsidP="00ED12FC">
      <w:pPr>
        <w:spacing w:line="360" w:lineRule="auto"/>
      </w:pPr>
    </w:p>
    <w:p w:rsidR="0079209C" w:rsidRDefault="0079209C" w:rsidP="00ED12FC">
      <w:pPr>
        <w:spacing w:line="360" w:lineRule="auto"/>
      </w:pPr>
      <w:r>
        <w:t>Table 1 about here</w:t>
      </w:r>
    </w:p>
    <w:p w:rsidR="0079209C" w:rsidRDefault="0079209C" w:rsidP="00ED12FC">
      <w:pPr>
        <w:spacing w:line="360" w:lineRule="auto"/>
      </w:pPr>
    </w:p>
    <w:p w:rsidR="0079209C" w:rsidRDefault="0079209C" w:rsidP="00ED12FC">
      <w:pPr>
        <w:spacing w:line="360" w:lineRule="auto"/>
      </w:pPr>
      <w:r>
        <w:t xml:space="preserve">The model adapts the SOE model of Galí and Monacelli (2005) (GM) for an emerging market with two types R and P of consumer-workers. The R types, with population share η, 0&lt; η &lt;1, are able to smooth consumption in perfect capital markets.  P types are assumed to be at a fixed subsistence wage, financed in part by transfers from R types. The labour supply elasticities of the P types are higher than the R types and the P type intertemporal elasticity of consumption is zero. </w:t>
      </w:r>
    </w:p>
    <w:p w:rsidR="0079209C" w:rsidRDefault="0079209C" w:rsidP="00ED12FC">
      <w:pPr>
        <w:spacing w:line="360" w:lineRule="auto"/>
      </w:pPr>
    </w:p>
    <w:p w:rsidR="0079209C" w:rsidRDefault="0079209C" w:rsidP="00ED12FC">
      <w:pPr>
        <w:spacing w:line="360" w:lineRule="auto"/>
      </w:pPr>
      <w:r>
        <w:t>Marginal cost at its steady-state level, when prices are perfectly flexible, defines the natural output</w:t>
      </w:r>
      <w:r w:rsidRPr="00F7160F">
        <w:rPr>
          <w:position w:val="-12"/>
        </w:rPr>
        <w:object w:dxaOrig="300" w:dyaOrig="400">
          <v:shape id="_x0000_i1039" type="#_x0000_t75" style="width:15pt;height:20.25pt" o:ole="">
            <v:imagedata r:id="rId36" o:title=""/>
          </v:shape>
          <o:OLEObject Type="Embed" ProgID="Equation.3" ShapeID="_x0000_i1039" DrawAspect="Content" ObjectID="_1410345180" r:id="rId37"/>
        </w:object>
      </w:r>
      <w:r>
        <w:t>. But the world output level is the final steady-state for a SOEME. Low productivity, poor infrastructure and other distortions keep the natural output in an EM below world levels. Convergence to world levels is part of the process of development. Productivity shocks, a</w:t>
      </w:r>
      <w:r>
        <w:rPr>
          <w:vertAlign w:val="subscript"/>
        </w:rPr>
        <w:t>t</w:t>
      </w:r>
      <w:r>
        <w:t xml:space="preserve">, can be more persistent in EMs that are in transition stages of upgrading technologies. </w:t>
      </w:r>
    </w:p>
    <w:p w:rsidR="0079209C" w:rsidRDefault="0079209C" w:rsidP="00ED12FC">
      <w:pPr>
        <w:spacing w:line="360" w:lineRule="auto"/>
      </w:pPr>
    </w:p>
    <w:p w:rsidR="0079209C" w:rsidRDefault="0079209C" w:rsidP="00ED12FC">
      <w:pPr>
        <w:spacing w:line="360" w:lineRule="auto"/>
      </w:pPr>
      <w:r>
        <w:t>The steady-state natural interest rate, ρ, is defined as the equilibrium real rate, consistent with a zero or target rate of inflation, when prices are fully flexible in a SOE. It is also the time discount rate since</w:t>
      </w:r>
      <w:r w:rsidRPr="00F7160F">
        <w:rPr>
          <w:position w:val="-10"/>
        </w:rPr>
        <w:object w:dxaOrig="1680" w:dyaOrig="360">
          <v:shape id="_x0000_i1040" type="#_x0000_t75" style="width:84pt;height:18pt" o:ole="">
            <v:imagedata r:id="rId38" o:title=""/>
          </v:shape>
          <o:OLEObject Type="Embed" ProgID="Equation.3" ShapeID="_x0000_i1040" DrawAspect="Content" ObjectID="_1410345181" r:id="rId39"/>
        </w:object>
      </w:r>
      <w:r>
        <w:t xml:space="preserve"> is where β is the discount factor. Shocks that change ρ open an output gap and affect inflation. </w:t>
      </w:r>
      <w:r>
        <w:rPr>
          <w:bCs/>
        </w:rPr>
        <w:t xml:space="preserve">The shocks in the term </w:t>
      </w:r>
      <w:r w:rsidRPr="00F7160F">
        <w:rPr>
          <w:position w:val="-6"/>
        </w:rPr>
        <w:object w:dxaOrig="340" w:dyaOrig="340">
          <v:shape id="_x0000_i1041" type="#_x0000_t75" style="width:17.25pt;height:17.25pt" o:ole="">
            <v:imagedata r:id="rId40" o:title=""/>
          </v:shape>
          <o:OLEObject Type="Embed" ProgID="Equation.3" ShapeID="_x0000_i1041" DrawAspect="Content" ObjectID="_1410345182" r:id="rId41"/>
        </w:object>
      </w:r>
      <w:r>
        <w:rPr>
          <w:bCs/>
        </w:rPr>
        <w:t xml:space="preserve"> that enters the AD therefore lead to a deviation of the natural rate from its steady-state value. The deviation occurs due to real disturbances that change natural output; </w:t>
      </w:r>
      <w:r w:rsidRPr="00F7160F">
        <w:rPr>
          <w:position w:val="-6"/>
        </w:rPr>
        <w:object w:dxaOrig="320" w:dyaOrig="320">
          <v:shape id="_x0000_i1042" type="#_x0000_t75" style="width:15.75pt;height:15.75pt" o:ole="">
            <v:imagedata r:id="rId42" o:title=""/>
          </v:shape>
          <o:OLEObject Type="Embed" ProgID="Equation.3" ShapeID="_x0000_i1042" DrawAspect="Content" ObjectID="_1410345183" r:id="rId43"/>
        </w:object>
      </w:r>
      <w:r>
        <w:rPr>
          <w:bCs/>
        </w:rPr>
        <w:t xml:space="preserve"> rises for any temporary demand shock and falls for any temporary supply </w:t>
      </w:r>
      <w:r>
        <w:rPr>
          <w:bCs/>
        </w:rPr>
        <w:lastRenderedPageBreak/>
        <w:t xml:space="preserve">shock. Optimal policy requires insulating the output gap from these shocks, so that the CB’s interest rate instrument should move in step with the natural rate. Thus the CB would accommodate positive supply shocks that raise the natural output by lowering interest rates. It would offset positive demand shocks that raise output above its potential by raising interest rates. In an EM a reduction in </w:t>
      </w:r>
      <w:r>
        <w:t>c</w:t>
      </w:r>
      <w:r>
        <w:rPr>
          <w:vertAlign w:val="subscript"/>
        </w:rPr>
        <w:t>P</w:t>
      </w:r>
      <w:r>
        <w:rPr>
          <w:bCs/>
        </w:rPr>
        <w:t xml:space="preserve"> is an additional large shock requiring reduction in the policy rate, since it increases the distance from the world consumption level. The parameters of the other shock terms are also different. Goyal (2011</w:t>
      </w:r>
      <w:r w:rsidR="00CE042A">
        <w:rPr>
          <w:bCs/>
        </w:rPr>
        <w:t>a</w:t>
      </w:r>
      <w:r>
        <w:rPr>
          <w:bCs/>
        </w:rPr>
        <w:t xml:space="preserve">) systematically compares the differences in behaviour and outcomes for the SOE and SOEME.  As </w:t>
      </w:r>
      <w:r>
        <w:t>η approaches unity the EM becomes developed and the SOEME collapses to the SOE.</w:t>
      </w:r>
    </w:p>
    <w:p w:rsidR="0079209C" w:rsidRDefault="0079209C" w:rsidP="00ED12FC">
      <w:pPr>
        <w:spacing w:line="360" w:lineRule="auto"/>
      </w:pPr>
    </w:p>
    <w:p w:rsidR="0079209C" w:rsidRDefault="0079209C" w:rsidP="00ED12FC">
      <w:pPr>
        <w:spacing w:line="360" w:lineRule="auto"/>
      </w:pPr>
      <w:r>
        <w:t xml:space="preserve">In the next section we draw out the implications of structure and rigidities in the SOEME for stability. Forward-looking behaviour can imply instability and multiple equilibria with an interest rate rule. The NKE-SOE models have a policy rule that imposes stability.  An equivalent rule can be derived for the SOEME, with a similar response coefficient for inflation that exceeds unity. </w:t>
      </w:r>
    </w:p>
    <w:p w:rsidR="0079209C" w:rsidRDefault="0079209C" w:rsidP="00ED12FC">
      <w:pPr>
        <w:spacing w:line="360" w:lineRule="auto"/>
      </w:pPr>
      <w:r>
        <w:t xml:space="preserve"> </w:t>
      </w:r>
    </w:p>
    <w:p w:rsidR="0079209C" w:rsidRDefault="0079209C" w:rsidP="00ED12FC">
      <w:pPr>
        <w:spacing w:line="360" w:lineRule="auto"/>
        <w:rPr>
          <w:b/>
        </w:rPr>
      </w:pPr>
      <w:r>
        <w:rPr>
          <w:b/>
        </w:rPr>
        <w:t>3. What stability implies for a policy rule</w:t>
      </w:r>
    </w:p>
    <w:p w:rsidR="0079209C" w:rsidRDefault="0079209C" w:rsidP="00ED12FC">
      <w:pPr>
        <w:spacing w:line="360" w:lineRule="auto"/>
      </w:pPr>
      <w:r>
        <w:t>We demonstrate instability in the SOEME system comprising (2) and (3), and then show how an adequate policy response can impose stability. Full stabilization implies that</w:t>
      </w:r>
      <w:r w:rsidRPr="00F7160F">
        <w:rPr>
          <w:position w:val="-14"/>
        </w:rPr>
        <w:object w:dxaOrig="1320" w:dyaOrig="380">
          <v:shape id="_x0000_i1043" type="#_x0000_t75" style="width:66pt;height:18.75pt" o:ole="">
            <v:imagedata r:id="rId44" o:title=""/>
          </v:shape>
          <o:OLEObject Type="Embed" ProgID="Equation.3" ShapeID="_x0000_i1043" DrawAspect="Content" ObjectID="_1410345184" r:id="rId45"/>
        </w:object>
      </w:r>
      <w:r>
        <w:t xml:space="preserve">, </w:t>
      </w:r>
      <w:r w:rsidRPr="00F7160F">
        <w:rPr>
          <w:position w:val="-12"/>
        </w:rPr>
        <w:object w:dxaOrig="760" w:dyaOrig="400">
          <v:shape id="_x0000_i1044" type="#_x0000_t75" style="width:38.25pt;height:20.25pt" o:ole="">
            <v:imagedata r:id="rId46" o:title=""/>
          </v:shape>
          <o:OLEObject Type="Embed" ProgID="Equation.3" ShapeID="_x0000_i1044" DrawAspect="Content" ObjectID="_1410345185" r:id="rId47"/>
        </w:object>
      </w:r>
      <w:r>
        <w:t xml:space="preserve"> and </w:t>
      </w:r>
      <w:r w:rsidRPr="00F7160F">
        <w:rPr>
          <w:position w:val="-12"/>
        </w:rPr>
        <w:object w:dxaOrig="720" w:dyaOrig="400">
          <v:shape id="_x0000_i1045" type="#_x0000_t75" style="width:36pt;height:20.25pt" o:ole="">
            <v:imagedata r:id="rId48" o:title=""/>
          </v:shape>
          <o:OLEObject Type="Embed" ProgID="Equation.3" ShapeID="_x0000_i1045" DrawAspect="Content" ObjectID="_1410345186" r:id="rId49"/>
        </w:object>
      </w:r>
      <w:r>
        <w:t>. Substituting dynamic AD (2) in the AS</w:t>
      </w:r>
      <w:r>
        <w:rPr>
          <w:rStyle w:val="FootnoteReference"/>
        </w:rPr>
        <w:footnoteReference w:id="4"/>
      </w:r>
      <w:r>
        <w:t xml:space="preserve"> (3) to write the AS as a function of x</w:t>
      </w:r>
      <w:r>
        <w:rPr>
          <w:vertAlign w:val="subscript"/>
        </w:rPr>
        <w:t>t+1</w:t>
      </w:r>
      <w:r>
        <w:t xml:space="preserve"> the two equations become:</w:t>
      </w:r>
    </w:p>
    <w:p w:rsidR="0079209C" w:rsidRDefault="0079209C">
      <w:pPr>
        <w:spacing w:line="360" w:lineRule="auto"/>
        <w:ind w:left="1440" w:firstLine="720"/>
      </w:pPr>
      <w:r w:rsidRPr="00F7160F">
        <w:rPr>
          <w:position w:val="-14"/>
        </w:rPr>
        <w:object w:dxaOrig="2760" w:dyaOrig="400">
          <v:shape id="_x0000_i1046" type="#_x0000_t75" style="width:147pt;height:21.75pt" o:ole="">
            <v:imagedata r:id="rId50" o:title=""/>
          </v:shape>
          <o:OLEObject Type="Embed" ProgID="Equation.3" ShapeID="_x0000_i1046" DrawAspect="Content" ObjectID="_1410345187" r:id="rId51"/>
        </w:object>
      </w:r>
      <w:r w:rsidR="002C63FE">
        <w:tab/>
      </w:r>
      <w:r w:rsidR="002C63FE">
        <w:tab/>
      </w:r>
      <w:r w:rsidR="002C63FE">
        <w:tab/>
      </w:r>
      <w:r w:rsidR="002C63FE">
        <w:tab/>
        <w:t xml:space="preserve"> </w:t>
      </w:r>
      <w:r>
        <w:t>(4)</w:t>
      </w:r>
    </w:p>
    <w:p w:rsidR="00ED12FC" w:rsidRDefault="00ED12FC">
      <w:pPr>
        <w:spacing w:line="360" w:lineRule="auto"/>
        <w:ind w:left="1440" w:firstLine="720"/>
      </w:pPr>
    </w:p>
    <w:p w:rsidR="0079209C" w:rsidRDefault="0079209C">
      <w:pPr>
        <w:spacing w:line="360" w:lineRule="auto"/>
        <w:ind w:left="1440" w:firstLine="720"/>
      </w:pPr>
      <w:r w:rsidRPr="00F7160F">
        <w:rPr>
          <w:position w:val="-14"/>
        </w:rPr>
        <w:object w:dxaOrig="3960" w:dyaOrig="400">
          <v:shape id="_x0000_i1047" type="#_x0000_t75" style="width:211.5pt;height:21.75pt" o:ole="">
            <v:imagedata r:id="rId52" o:title=""/>
          </v:shape>
          <o:OLEObject Type="Embed" ProgID="Equation.3" ShapeID="_x0000_i1047" DrawAspect="Content" ObjectID="_1410345188" r:id="rId53"/>
        </w:object>
      </w:r>
      <w:r w:rsidR="002C63FE">
        <w:tab/>
      </w:r>
      <w:r w:rsidR="002C63FE">
        <w:tab/>
        <w:t xml:space="preserve">    </w:t>
      </w:r>
      <w:r w:rsidR="002C63FE">
        <w:tab/>
        <w:t xml:space="preserve"> </w:t>
      </w:r>
      <w:r>
        <w:t>(5)</w:t>
      </w:r>
    </w:p>
    <w:p w:rsidR="00ED12FC" w:rsidRDefault="00ED12FC">
      <w:pPr>
        <w:spacing w:line="360" w:lineRule="auto"/>
        <w:ind w:left="1440" w:firstLine="720"/>
      </w:pPr>
    </w:p>
    <w:p w:rsidR="0079209C" w:rsidRDefault="008E1438">
      <w:pPr>
        <w:spacing w:line="360" w:lineRule="auto"/>
      </w:pPr>
      <w:r>
        <w:rPr>
          <w:noProof/>
        </w:rPr>
        <w:pict>
          <v:shape id="_x0000_s1026" type="#_x0000_t75" style="position:absolute;margin-left:112.5pt;margin-top:27.6pt;width:103.9pt;height:36.25pt;z-index:1">
            <v:imagedata r:id="rId54" o:title=""/>
            <w10:wrap type="square" side="right"/>
          </v:shape>
          <o:OLEObject Type="Embed" ProgID="Equation.3" ShapeID="_x0000_s1026" DrawAspect="Content" ObjectID="_1410345366" r:id="rId55"/>
        </w:pict>
      </w:r>
      <w:r w:rsidR="0079209C">
        <w:t>In matrix form they are:</w:t>
      </w:r>
      <w:r w:rsidR="0079209C">
        <w:tab/>
      </w:r>
      <w:r w:rsidR="0079209C">
        <w:tab/>
      </w:r>
    </w:p>
    <w:p w:rsidR="0079209C" w:rsidRDefault="0079209C">
      <w:pPr>
        <w:spacing w:line="360" w:lineRule="auto"/>
      </w:pPr>
      <w:r>
        <w:t xml:space="preserve">with </w:t>
      </w:r>
      <w:r w:rsidRPr="00F7160F">
        <w:rPr>
          <w:position w:val="-32"/>
        </w:rPr>
        <w:object w:dxaOrig="2120" w:dyaOrig="760">
          <v:shape id="_x0000_i1048" type="#_x0000_t75" style="width:105.75pt;height:38.25pt" o:ole="">
            <v:imagedata r:id="rId56" o:title=""/>
          </v:shape>
          <o:OLEObject Type="Embed" ProgID="Equation.3" ShapeID="_x0000_i1048" DrawAspect="Content" ObjectID="_1410345189" r:id="rId57"/>
        </w:object>
      </w:r>
      <w:r w:rsidR="002C63FE">
        <w:tab/>
        <w:t xml:space="preserve">          </w:t>
      </w:r>
      <w:r>
        <w:t>(6)</w:t>
      </w:r>
    </w:p>
    <w:p w:rsidR="00ED12FC" w:rsidRDefault="00ED12FC">
      <w:pPr>
        <w:spacing w:line="360" w:lineRule="auto"/>
      </w:pPr>
    </w:p>
    <w:p w:rsidR="0079209C" w:rsidRDefault="0079209C" w:rsidP="00ED12FC">
      <w:pPr>
        <w:spacing w:line="360" w:lineRule="auto"/>
      </w:pPr>
      <w:r>
        <w:lastRenderedPageBreak/>
        <w:t>Since the determinant and trace of the coefficient matrix A</w:t>
      </w:r>
      <w:r>
        <w:rPr>
          <w:vertAlign w:val="subscript"/>
        </w:rPr>
        <w:t>o</w:t>
      </w:r>
      <w:r>
        <w:t xml:space="preserve"> are both greater than zero the system is unstable. Local indeterminacy is possible and sunspot fluctuations can occur.</w:t>
      </w:r>
    </w:p>
    <w:p w:rsidR="0079209C" w:rsidRDefault="0079209C" w:rsidP="00ED12FC">
      <w:pPr>
        <w:spacing w:line="360" w:lineRule="auto"/>
      </w:pPr>
    </w:p>
    <w:p w:rsidR="0079209C" w:rsidRDefault="0079209C" w:rsidP="00ED12FC">
      <w:pPr>
        <w:spacing w:line="360" w:lineRule="auto"/>
      </w:pPr>
      <w:r>
        <w:t>But a major result in the literature is that an adequate policy response to inflation, that exceeds unity, can impose stability. The reason is that since sticky prices are set in a forward-looking manner, an early and robust policy response will prevent inflationary expectations entering this price setting and therefore lower inflation and the future costs of disinflating (Clarida et.al. 1999).</w:t>
      </w:r>
    </w:p>
    <w:p w:rsidR="0079209C" w:rsidRDefault="0079209C" w:rsidP="00ED12FC">
      <w:pPr>
        <w:spacing w:line="360" w:lineRule="auto"/>
      </w:pPr>
    </w:p>
    <w:p w:rsidR="0079209C" w:rsidRDefault="0079209C" w:rsidP="00ED12FC">
      <w:pPr>
        <w:spacing w:line="360" w:lineRule="auto"/>
      </w:pPr>
      <w:r>
        <w:t>GM show analytically that a simple Taylor-type policy rule, with a coefficient on inflation that exceeds unity, is sufficient to ensure stability in the SOE. We derive the equivalent stability condition for the SOEME. A simple policy rule whereby the interest rate is raised if there is domestic inflation or if the output gap is positive is:</w:t>
      </w:r>
    </w:p>
    <w:p w:rsidR="0079209C" w:rsidRDefault="0079209C">
      <w:pPr>
        <w:spacing w:line="360" w:lineRule="auto"/>
        <w:ind w:left="2160" w:firstLine="720"/>
      </w:pPr>
      <w:r w:rsidRPr="00F7160F">
        <w:rPr>
          <w:position w:val="-14"/>
        </w:rPr>
        <w:object w:dxaOrig="2520" w:dyaOrig="440">
          <v:shape id="_x0000_i1049" type="#_x0000_t75" style="width:138.75pt;height:21pt" o:ole="">
            <v:imagedata r:id="rId58" o:title=""/>
          </v:shape>
          <o:OLEObject Type="Embed" ProgID="Equation.3" ShapeID="_x0000_i1049" DrawAspect="Content" ObjectID="_1410345190" r:id="rId59"/>
        </w:object>
      </w:r>
      <w:r w:rsidR="00ED12FC">
        <w:tab/>
      </w:r>
      <w:r w:rsidR="00ED12FC">
        <w:tab/>
      </w:r>
      <w:r w:rsidR="00ED12FC">
        <w:tab/>
      </w:r>
      <w:r w:rsidR="00ED12FC">
        <w:tab/>
        <w:t xml:space="preserve"> </w:t>
      </w:r>
      <w:r>
        <w:t>(7)</w:t>
      </w:r>
    </w:p>
    <w:p w:rsidR="00ED12FC" w:rsidRDefault="00ED12FC">
      <w:pPr>
        <w:spacing w:line="360" w:lineRule="auto"/>
        <w:ind w:left="2160" w:firstLine="720"/>
      </w:pPr>
    </w:p>
    <w:p w:rsidR="0079209C" w:rsidRDefault="0079209C">
      <w:pPr>
        <w:spacing w:line="360" w:lineRule="auto"/>
      </w:pPr>
      <w:r>
        <w:t>Substituting for i</w:t>
      </w:r>
      <w:r>
        <w:rPr>
          <w:vertAlign w:val="subscript"/>
        </w:rPr>
        <w:t>t</w:t>
      </w:r>
      <w:r>
        <w:t xml:space="preserve"> minus its equilibrium value from the policy rule into (2), transforming </w:t>
      </w:r>
      <w:r>
        <w:sym w:font="Symbol" w:char="F070"/>
      </w:r>
      <w:r>
        <w:rPr>
          <w:vertAlign w:val="subscript"/>
        </w:rPr>
        <w:t xml:space="preserve">Ht   </w:t>
      </w:r>
      <w:r>
        <w:t>into</w:t>
      </w:r>
      <w:r>
        <w:rPr>
          <w:vertAlign w:val="subscript"/>
        </w:rPr>
        <w:t xml:space="preserve"> </w:t>
      </w:r>
      <w:r>
        <w:sym w:font="Symbol" w:char="F070"/>
      </w:r>
      <w:r>
        <w:rPr>
          <w:vertAlign w:val="subscript"/>
        </w:rPr>
        <w:t xml:space="preserve">t, </w:t>
      </w:r>
      <w:r>
        <w:t xml:space="preserve">and substituting for </w:t>
      </w:r>
      <w:r>
        <w:sym w:font="Symbol" w:char="F070"/>
      </w:r>
      <w:r>
        <w:rPr>
          <w:vertAlign w:val="subscript"/>
        </w:rPr>
        <w:t xml:space="preserve">t, </w:t>
      </w:r>
      <w:r>
        <w:t>then substituting for x</w:t>
      </w:r>
      <w:r>
        <w:rPr>
          <w:vertAlign w:val="subscript"/>
        </w:rPr>
        <w:t>t</w:t>
      </w:r>
      <w:r>
        <w:t>, with i substituted in it, in (3), we get:</w:t>
      </w:r>
    </w:p>
    <w:p w:rsidR="0079209C" w:rsidRDefault="0079209C">
      <w:pPr>
        <w:spacing w:line="360" w:lineRule="auto"/>
        <w:ind w:left="720" w:firstLine="720"/>
      </w:pPr>
      <w:r w:rsidRPr="00F7160F">
        <w:rPr>
          <w:position w:val="-12"/>
        </w:rPr>
        <w:object w:dxaOrig="5539" w:dyaOrig="360">
          <v:shape id="_x0000_i1050" type="#_x0000_t75" style="width:312pt;height:17.25pt" o:ole="">
            <v:imagedata r:id="rId60" o:title=""/>
          </v:shape>
          <o:OLEObject Type="Embed" ProgID="Equation.3" ShapeID="_x0000_i1050" DrawAspect="Content" ObjectID="_1410345191" r:id="rId61"/>
        </w:object>
      </w:r>
      <w:r w:rsidR="00ED12FC">
        <w:tab/>
        <w:t xml:space="preserve"> </w:t>
      </w:r>
      <w:r>
        <w:t>(8)</w:t>
      </w:r>
    </w:p>
    <w:p w:rsidR="00ED12FC" w:rsidRDefault="00ED12FC">
      <w:pPr>
        <w:spacing w:line="360" w:lineRule="auto"/>
        <w:ind w:left="720" w:firstLine="720"/>
      </w:pPr>
    </w:p>
    <w:p w:rsidR="0079209C" w:rsidRDefault="0079209C">
      <w:pPr>
        <w:spacing w:line="360" w:lineRule="auto"/>
        <w:ind w:firstLine="720"/>
      </w:pPr>
      <w:r w:rsidRPr="00F7160F">
        <w:rPr>
          <w:position w:val="-12"/>
        </w:rPr>
        <w:object w:dxaOrig="6180" w:dyaOrig="360">
          <v:shape id="_x0000_i1051" type="#_x0000_t75" style="width:349.5pt;height:18.75pt" o:ole="">
            <v:imagedata r:id="rId62" o:title=""/>
          </v:shape>
          <o:OLEObject Type="Embed" ProgID="Equation.3" ShapeID="_x0000_i1051" DrawAspect="Content" ObjectID="_1410345192" r:id="rId63"/>
        </w:object>
      </w:r>
      <w:r w:rsidR="00ED12FC">
        <w:tab/>
        <w:t xml:space="preserve"> </w:t>
      </w:r>
      <w:r>
        <w:t>(9)</w:t>
      </w:r>
    </w:p>
    <w:p w:rsidR="00ED12FC" w:rsidRDefault="00ED12FC">
      <w:pPr>
        <w:spacing w:line="360" w:lineRule="auto"/>
        <w:ind w:firstLine="720"/>
      </w:pPr>
    </w:p>
    <w:p w:rsidR="0079209C" w:rsidRDefault="0079209C">
      <w:pPr>
        <w:spacing w:line="360" w:lineRule="auto"/>
      </w:pPr>
      <w:r>
        <w:t xml:space="preserve">The AD and AS (2) and (3) transformed to (8) and (9), as required for stability analysis, and written in matrix form are: </w:t>
      </w:r>
    </w:p>
    <w:p w:rsidR="0079209C" w:rsidRDefault="0079209C">
      <w:pPr>
        <w:spacing w:line="360" w:lineRule="auto"/>
        <w:jc w:val="right"/>
      </w:pPr>
      <w:r w:rsidRPr="00F7160F">
        <w:rPr>
          <w:position w:val="-32"/>
        </w:rPr>
        <w:object w:dxaOrig="1960" w:dyaOrig="760">
          <v:shape id="_x0000_i1052" type="#_x0000_t75" style="width:98.25pt;height:38.25pt" o:ole="">
            <v:imagedata r:id="rId64" o:title=""/>
          </v:shape>
          <o:OLEObject Type="Embed" ProgID="Equation.3" ShapeID="_x0000_i1052" DrawAspect="Content" ObjectID="_1410345193" r:id="rId65"/>
        </w:object>
      </w:r>
      <w:r>
        <w:t xml:space="preserve">                                                        (10)</w:t>
      </w:r>
    </w:p>
    <w:p w:rsidR="0079209C" w:rsidRDefault="0079209C">
      <w:pPr>
        <w:spacing w:line="360" w:lineRule="auto"/>
      </w:pPr>
      <w:r>
        <w:t xml:space="preserve">where </w:t>
      </w:r>
    </w:p>
    <w:p w:rsidR="0079209C" w:rsidRDefault="0079209C">
      <w:pPr>
        <w:spacing w:line="360" w:lineRule="auto"/>
        <w:jc w:val="center"/>
      </w:pPr>
      <w:r w:rsidRPr="00F7160F">
        <w:rPr>
          <w:position w:val="-32"/>
        </w:rPr>
        <w:object w:dxaOrig="3460" w:dyaOrig="760">
          <v:shape id="_x0000_i1053" type="#_x0000_t75" style="width:162.75pt;height:37.5pt" o:ole="">
            <v:imagedata r:id="rId66" o:title=""/>
          </v:shape>
          <o:OLEObject Type="Embed" ProgID="Equation.3" ShapeID="_x0000_i1053" DrawAspect="Content" ObjectID="_1410345194" r:id="rId67"/>
        </w:object>
      </w:r>
      <w:r>
        <w:t>and</w:t>
      </w:r>
      <w:r w:rsidRPr="00F7160F">
        <w:rPr>
          <w:position w:val="-28"/>
        </w:rPr>
        <w:object w:dxaOrig="2000" w:dyaOrig="639">
          <v:shape id="_x0000_i1054" type="#_x0000_t75" style="width:103.5pt;height:33pt" o:ole="">
            <v:imagedata r:id="rId68" o:title=""/>
          </v:shape>
          <o:OLEObject Type="Embed" ProgID="Equation.3" ShapeID="_x0000_i1054" DrawAspect="Content" ObjectID="_1410345195" r:id="rId69"/>
        </w:object>
      </w:r>
    </w:p>
    <w:p w:rsidR="0079209C" w:rsidRDefault="0079209C">
      <w:pPr>
        <w:spacing w:line="360" w:lineRule="auto"/>
      </w:pPr>
    </w:p>
    <w:p w:rsidR="0079209C" w:rsidRDefault="0079209C" w:rsidP="00ED12FC">
      <w:pPr>
        <w:spacing w:line="360" w:lineRule="auto"/>
      </w:pPr>
      <w:r>
        <w:lastRenderedPageBreak/>
        <w:t>The stability condition</w:t>
      </w:r>
      <w:r>
        <w:rPr>
          <w:rStyle w:val="FootnoteReference"/>
        </w:rPr>
        <w:footnoteReference w:id="5"/>
      </w:r>
      <w:r>
        <w:t xml:space="preserve"> for a unique non-explosive s</w:t>
      </w:r>
      <w:r w:rsidR="00ED12FC">
        <w:t xml:space="preserve">olution </w:t>
      </w:r>
      <w:r>
        <w:t>is</w:t>
      </w:r>
      <w:r w:rsidR="002E5089">
        <w:t xml:space="preserve"> </w:t>
      </w:r>
      <w:r w:rsidRPr="00F7160F">
        <w:rPr>
          <w:position w:val="-10"/>
        </w:rPr>
        <w:object w:dxaOrig="2320" w:dyaOrig="320">
          <v:shape id="_x0000_i1055" type="#_x0000_t75" style="width:116.25pt;height:15.75pt" o:ole="">
            <v:imagedata r:id="rId70" o:title=""/>
          </v:shape>
          <o:OLEObject Type="Embed" ProgID="Equation.3" ShapeID="_x0000_i1055" DrawAspect="Content" ObjectID="_1410345196" r:id="rId71"/>
        </w:object>
      </w:r>
      <w:r>
        <w:t xml:space="preserve">. A policy response to inflation that exceeds unity is sufficient to ensure stability. The result for the SOE in GM is the same, only the coefficient values are different. GM’s </w:t>
      </w:r>
      <w:r>
        <w:sym w:font="Symbol" w:char="F06B"/>
      </w:r>
      <w:r>
        <w:t xml:space="preserve"> becomes </w:t>
      </w:r>
      <w:r>
        <w:sym w:font="Symbol" w:char="F06B"/>
      </w:r>
      <w:r>
        <w:rPr>
          <w:vertAlign w:val="subscript"/>
        </w:rPr>
        <w:t>D</w:t>
      </w:r>
      <w:r>
        <w:t xml:space="preserve"> in the SOEME; </w:t>
      </w:r>
      <w:r w:rsidRPr="00F7160F">
        <w:rPr>
          <w:position w:val="-4"/>
        </w:rPr>
        <w:object w:dxaOrig="279" w:dyaOrig="320">
          <v:shape id="_x0000_i1056" type="#_x0000_t75" style="width:14.25pt;height:15.75pt" o:ole="">
            <v:imagedata r:id="rId72" o:title=""/>
          </v:shape>
          <o:OLEObject Type="Embed" ProgID="Equation.3" ShapeID="_x0000_i1056" DrawAspect="Content" ObjectID="_1410345197" r:id="rId73"/>
        </w:object>
      </w:r>
      <w:r>
        <w:rPr>
          <w:vertAlign w:val="subscript"/>
        </w:rPr>
        <w:t>t</w:t>
      </w:r>
      <w:r>
        <w:t xml:space="preserve"> is also different.</w:t>
      </w:r>
    </w:p>
    <w:p w:rsidR="0079209C" w:rsidRDefault="0079209C">
      <w:pPr>
        <w:spacing w:line="360" w:lineRule="auto"/>
      </w:pPr>
    </w:p>
    <w:p w:rsidR="0079209C" w:rsidRDefault="0079209C" w:rsidP="002E5089">
      <w:pPr>
        <w:spacing w:line="360" w:lineRule="auto"/>
        <w:jc w:val="both"/>
      </w:pPr>
      <w:r>
        <w:t>But a slightly modified version of the SOEME model turned out to be stable under optimiz</w:t>
      </w:r>
      <w:r w:rsidR="009D3CBB">
        <w:t>ing</w:t>
      </w:r>
      <w:r>
        <w:t xml:space="preserve"> simulations conducted with the parameters as given in Table 1.</w:t>
      </w:r>
    </w:p>
    <w:p w:rsidR="0079209C" w:rsidRPr="002E5089" w:rsidRDefault="00ED12FC">
      <w:pPr>
        <w:spacing w:line="360" w:lineRule="auto"/>
        <w:rPr>
          <w:position w:val="-32"/>
        </w:rPr>
      </w:pPr>
      <w:r>
        <w:rPr>
          <w:position w:val="-32"/>
        </w:rPr>
        <w:t xml:space="preserve">   </w:t>
      </w:r>
      <w:r w:rsidR="007E6B9D">
        <w:rPr>
          <w:position w:val="-32"/>
        </w:rPr>
        <w:tab/>
      </w:r>
      <w:r w:rsidR="007E6B9D">
        <w:rPr>
          <w:position w:val="-32"/>
        </w:rPr>
        <w:tab/>
      </w:r>
      <w:r w:rsidR="007E6B9D">
        <w:rPr>
          <w:position w:val="-32"/>
        </w:rPr>
        <w:tab/>
      </w:r>
      <w:r w:rsidR="005E300F" w:rsidRPr="00D13F7C">
        <w:rPr>
          <w:position w:val="-30"/>
        </w:rPr>
        <w:object w:dxaOrig="4340" w:dyaOrig="680">
          <v:shape id="_x0000_i1057" type="#_x0000_t75" style="width:217.5pt;height:33.75pt" o:ole="">
            <v:imagedata r:id="rId74" o:title=""/>
          </v:shape>
          <o:OLEObject Type="Embed" ProgID="Equation.3" ShapeID="_x0000_i1057" DrawAspect="Content" ObjectID="_1410345198" r:id="rId75"/>
        </w:object>
      </w:r>
      <w:r>
        <w:rPr>
          <w:position w:val="-32"/>
        </w:rPr>
        <w:t xml:space="preserve">     </w:t>
      </w:r>
      <w:r w:rsidR="007E6B9D">
        <w:rPr>
          <w:position w:val="-32"/>
        </w:rPr>
        <w:tab/>
        <w:t xml:space="preserve">          </w:t>
      </w:r>
      <w:r>
        <w:rPr>
          <w:position w:val="-32"/>
        </w:rPr>
        <w:t xml:space="preserve"> (</w:t>
      </w:r>
      <w:r w:rsidR="0079209C">
        <w:rPr>
          <w:position w:val="-32"/>
        </w:rPr>
        <w:t>1</w:t>
      </w:r>
      <w:r>
        <w:rPr>
          <w:position w:val="-32"/>
        </w:rPr>
        <w:t>1)</w:t>
      </w:r>
    </w:p>
    <w:p w:rsidR="0079209C" w:rsidRDefault="0079209C" w:rsidP="002E5089">
      <w:pPr>
        <w:spacing w:line="360" w:lineRule="auto"/>
        <w:ind w:left="1440" w:firstLine="720"/>
      </w:pPr>
      <w:r w:rsidRPr="00F7160F">
        <w:rPr>
          <w:position w:val="-32"/>
        </w:rPr>
        <w:object w:dxaOrig="4740" w:dyaOrig="720">
          <v:shape id="_x0000_i1058" type="#_x0000_t75" style="width:237pt;height:36pt" o:ole="">
            <v:imagedata r:id="rId76" o:title=""/>
          </v:shape>
          <o:OLEObject Type="Embed" ProgID="Equation.3" ShapeID="_x0000_i1058" DrawAspect="Content" ObjectID="_1410345199" r:id="rId77"/>
        </w:object>
      </w:r>
      <w:r w:rsidR="00ED12FC">
        <w:rPr>
          <w:position w:val="-32"/>
        </w:rPr>
        <w:tab/>
        <w:t xml:space="preserve">           </w:t>
      </w:r>
      <w:r>
        <w:rPr>
          <w:position w:val="-32"/>
        </w:rPr>
        <w:t>(12)</w:t>
      </w:r>
    </w:p>
    <w:p w:rsidR="0079209C" w:rsidRDefault="0079209C" w:rsidP="00ED12FC">
      <w:pPr>
        <w:spacing w:line="360" w:lineRule="auto"/>
      </w:pPr>
      <w:r>
        <w:t>In sensitivity analysis with the above model simulations are stable, even with low weights on inflation. Since a positive smoothing parameter q</w:t>
      </w:r>
      <w:r>
        <w:rPr>
          <w:vertAlign w:val="subscript"/>
        </w:rPr>
        <w:t>i</w:t>
      </w:r>
      <w:r>
        <w:t xml:space="preserve"> reduces the policy response to inflation some weight on </w:t>
      </w:r>
      <w:r>
        <w:sym w:font="Symbol" w:char="F070"/>
      </w:r>
      <w:r>
        <w:t xml:space="preserve"> is required. With q</w:t>
      </w:r>
      <w:r>
        <w:rPr>
          <w:vertAlign w:val="subscript"/>
        </w:rPr>
        <w:t>i</w:t>
      </w:r>
      <w:r>
        <w:t xml:space="preserve"> = 0 even no weight on inflation generates stable outcomes. For example, if q</w:t>
      </w:r>
      <w:r>
        <w:rPr>
          <w:vertAlign w:val="subscript"/>
        </w:rPr>
        <w:t>i</w:t>
      </w:r>
      <w:r>
        <w:t xml:space="preserve"> = 1 outcomes are indeterminate with q</w:t>
      </w:r>
      <w:r>
        <w:rPr>
          <w:vertAlign w:val="subscript"/>
        </w:rPr>
        <w:t>x</w:t>
      </w:r>
      <w:r>
        <w:t xml:space="preserve"> = 0 and q</w:t>
      </w:r>
      <w:r>
        <w:rPr>
          <w:vertAlign w:val="subscript"/>
        </w:rPr>
        <w:sym w:font="Symbol" w:char="F070"/>
      </w:r>
      <w:r>
        <w:t xml:space="preserve"> less than 1; they are also indeterminate with q</w:t>
      </w:r>
      <w:r>
        <w:rPr>
          <w:vertAlign w:val="subscript"/>
        </w:rPr>
        <w:t>x</w:t>
      </w:r>
      <w:r>
        <w:t xml:space="preserve"> =0.07 if q</w:t>
      </w:r>
      <w:r>
        <w:rPr>
          <w:vertAlign w:val="subscript"/>
        </w:rPr>
        <w:sym w:font="Symbol" w:char="F070"/>
      </w:r>
      <w:r>
        <w:t xml:space="preserve"> less than 0.9; but if q</w:t>
      </w:r>
      <w:r>
        <w:rPr>
          <w:vertAlign w:val="subscript"/>
        </w:rPr>
        <w:t>i</w:t>
      </w:r>
      <w:r>
        <w:t xml:space="preserve"> =0 and q</w:t>
      </w:r>
      <w:r>
        <w:rPr>
          <w:vertAlign w:val="subscript"/>
        </w:rPr>
        <w:t>x</w:t>
      </w:r>
      <w:r>
        <w:t xml:space="preserve"> =0.07 outcomes are stable even with q</w:t>
      </w:r>
      <w:r>
        <w:rPr>
          <w:vertAlign w:val="subscript"/>
        </w:rPr>
        <w:sym w:font="Symbol" w:char="F070"/>
      </w:r>
      <w:r>
        <w:t>=0. In the estimated reaction functions of the simulations in Goyal (2011</w:t>
      </w:r>
      <w:r w:rsidR="00CE042A">
        <w:t>a</w:t>
      </w:r>
      <w:r>
        <w:t>, Table 4) the weights on inflation range from 4.28 to 0.0091</w:t>
      </w:r>
      <w:r>
        <w:rPr>
          <w:rStyle w:val="FootnoteReference"/>
        </w:rPr>
        <w:footnoteReference w:id="6"/>
      </w:r>
      <w:r>
        <w:t>. The lags in the system</w:t>
      </w:r>
      <w:r w:rsidR="00BD41CD">
        <w:t>, and other structural aspects,</w:t>
      </w:r>
      <w:r>
        <w:t xml:space="preserve"> may be contributing to stability even with </w:t>
      </w:r>
      <w:r w:rsidR="00BD41CD">
        <w:t>a low policy reaction to inflation</w:t>
      </w:r>
      <w:r>
        <w:t>.</w:t>
      </w:r>
    </w:p>
    <w:p w:rsidR="0079209C" w:rsidRDefault="0079209C">
      <w:pPr>
        <w:spacing w:line="360" w:lineRule="auto"/>
        <w:jc w:val="both"/>
      </w:pPr>
    </w:p>
    <w:p w:rsidR="0079209C" w:rsidRDefault="0079209C" w:rsidP="00ED12FC">
      <w:pPr>
        <w:spacing w:line="360" w:lineRule="auto"/>
      </w:pPr>
      <w:r>
        <w:t xml:space="preserve">Since the SOEME model </w:t>
      </w:r>
      <w:r w:rsidR="009D3CBB">
        <w:t xml:space="preserve">under policy optimization </w:t>
      </w:r>
      <w:r>
        <w:t>was stable under more relaxed conditions on the parameters, we next derive stability conditions for the simulated equations.</w:t>
      </w:r>
    </w:p>
    <w:p w:rsidR="0079209C" w:rsidRDefault="0079209C" w:rsidP="00ED12FC">
      <w:pPr>
        <w:spacing w:line="360" w:lineRule="auto"/>
      </w:pPr>
    </w:p>
    <w:p w:rsidR="0079209C" w:rsidRDefault="0079209C" w:rsidP="00ED12FC">
      <w:pPr>
        <w:spacing w:line="360" w:lineRule="auto"/>
        <w:rPr>
          <w:i/>
          <w:iCs/>
        </w:rPr>
      </w:pPr>
      <w:r>
        <w:rPr>
          <w:i/>
          <w:iCs/>
        </w:rPr>
        <w:t>3.1 The stability condition for the simulated model under a policy rule</w:t>
      </w:r>
    </w:p>
    <w:p w:rsidR="0079209C" w:rsidRDefault="0079209C" w:rsidP="00ED12FC">
      <w:pPr>
        <w:spacing w:line="360" w:lineRule="auto"/>
      </w:pPr>
      <w:r>
        <w:t>The two simulation equations (11) and (12), written in the form required for stability analysis are (derived in Appendix A):</w:t>
      </w:r>
    </w:p>
    <w:p w:rsidR="0079209C" w:rsidRDefault="005E300F">
      <w:pPr>
        <w:spacing w:line="360" w:lineRule="auto"/>
      </w:pPr>
      <w:r w:rsidRPr="003D6C89">
        <w:rPr>
          <w:rFonts w:eastAsiaTheme="minorEastAsia"/>
          <w:position w:val="-34"/>
        </w:rPr>
        <w:object w:dxaOrig="8220" w:dyaOrig="800">
          <v:shape id="_x0000_i1059" type="#_x0000_t75" style="width:381pt;height:36.75pt" o:ole="">
            <v:imagedata r:id="rId78" o:title=""/>
          </v:shape>
          <o:OLEObject Type="Embed" ProgID="Equation.3" ShapeID="_x0000_i1059" DrawAspect="Content" ObjectID="_1410345200" r:id="rId79"/>
        </w:object>
      </w:r>
      <w:r w:rsidR="003D6C89">
        <w:t xml:space="preserve">   (</w:t>
      </w:r>
      <w:r w:rsidR="0079209C">
        <w:t>13)</w:t>
      </w:r>
    </w:p>
    <w:p w:rsidR="0079209C" w:rsidRDefault="0079209C">
      <w:pPr>
        <w:spacing w:line="360" w:lineRule="auto"/>
      </w:pPr>
    </w:p>
    <w:p w:rsidR="0079209C" w:rsidRDefault="003D6C89">
      <w:pPr>
        <w:spacing w:line="360" w:lineRule="auto"/>
      </w:pPr>
      <w:r w:rsidRPr="005D69B5">
        <w:rPr>
          <w:position w:val="-54"/>
        </w:rPr>
        <w:object w:dxaOrig="7620" w:dyaOrig="1160">
          <v:shape id="_x0000_i1060" type="#_x0000_t75" style="width:381pt;height:57.75pt" o:ole="">
            <v:imagedata r:id="rId80" o:title=""/>
          </v:shape>
          <o:OLEObject Type="Embed" ProgID="Equation.3" ShapeID="_x0000_i1060" DrawAspect="Content" ObjectID="_1410345201" r:id="rId81"/>
        </w:object>
      </w:r>
      <w:r w:rsidR="00ED12FC">
        <w:t xml:space="preserve">    </w:t>
      </w:r>
      <w:r w:rsidR="008E1438">
        <w:rPr>
          <w:b/>
          <w:bCs/>
        </w:rPr>
        <w:fldChar w:fldCharType="begin"/>
      </w:r>
      <w:r w:rsidR="0079209C">
        <w:rPr>
          <w:b/>
          <w:bCs/>
        </w:rPr>
        <w:instrText xml:space="preserve"> QUOTE </w:instrText>
      </w:r>
      <w:r w:rsidR="00E31CC2" w:rsidRPr="008E1438">
        <w:rPr>
          <w:b/>
          <w:bCs/>
        </w:rPr>
        <w:pict>
          <v:shape id="_x0000_i1061" type="#_x0000_t75" style="width:6in;height:57pt" equationxml="&lt;">
            <v:imagedata r:id="rId82" o:title="" chromakey="white"/>
          </v:shape>
        </w:pict>
      </w:r>
      <w:r w:rsidR="0079209C">
        <w:rPr>
          <w:b/>
          <w:bCs/>
        </w:rPr>
        <w:instrText xml:space="preserve"> </w:instrText>
      </w:r>
      <w:r w:rsidR="008E1438">
        <w:rPr>
          <w:b/>
          <w:bCs/>
        </w:rPr>
        <w:fldChar w:fldCharType="end"/>
      </w:r>
      <w:r w:rsidR="0079209C">
        <w:t>(14)</w:t>
      </w:r>
    </w:p>
    <w:p w:rsidR="002E5089" w:rsidRDefault="002E5089">
      <w:pPr>
        <w:spacing w:line="360" w:lineRule="auto"/>
      </w:pPr>
    </w:p>
    <w:p w:rsidR="000B6A7B" w:rsidRDefault="000B6A7B">
      <w:pPr>
        <w:spacing w:line="360" w:lineRule="auto"/>
      </w:pPr>
      <w:r>
        <w:t xml:space="preserve">Where </w:t>
      </w:r>
      <w:r>
        <w:tab/>
      </w:r>
      <w:r>
        <w:tab/>
      </w:r>
      <w:r>
        <w:tab/>
      </w:r>
      <w:r w:rsidR="00CD2684" w:rsidRPr="00DD3CB9">
        <w:rPr>
          <w:position w:val="-30"/>
        </w:rPr>
        <w:object w:dxaOrig="3480" w:dyaOrig="680">
          <v:shape id="_x0000_i1062" type="#_x0000_t75" style="width:174pt;height:33.75pt" o:ole="">
            <v:imagedata r:id="rId83" o:title=""/>
          </v:shape>
          <o:OLEObject Type="Embed" ProgID="Equation.3" ShapeID="_x0000_i1062" DrawAspect="Content" ObjectID="_1410345202" r:id="rId84"/>
        </w:object>
      </w:r>
    </w:p>
    <w:p w:rsidR="002E5089" w:rsidRDefault="002E5089">
      <w:pPr>
        <w:spacing w:line="360" w:lineRule="auto"/>
      </w:pPr>
    </w:p>
    <w:p w:rsidR="0079209C" w:rsidRDefault="0079209C">
      <w:pPr>
        <w:spacing w:line="360" w:lineRule="auto"/>
      </w:pPr>
      <w:r>
        <w:t>They give the following higher order difference equation system:</w:t>
      </w:r>
    </w:p>
    <w:p w:rsidR="006A676C" w:rsidRPr="00D66F58" w:rsidRDefault="006A676C" w:rsidP="00D66F58">
      <w:pPr>
        <w:ind w:firstLine="720"/>
      </w:pPr>
      <w:r w:rsidRPr="00DD3CB9">
        <w:rPr>
          <w:position w:val="-32"/>
        </w:rPr>
        <w:object w:dxaOrig="6000" w:dyaOrig="760">
          <v:shape id="_x0000_i1063" type="#_x0000_t75" style="width:300pt;height:38.25pt" o:ole="">
            <v:imagedata r:id="rId85" o:title=""/>
          </v:shape>
          <o:OLEObject Type="Embed" ProgID="Equation.3" ShapeID="_x0000_i1063" DrawAspect="Content" ObjectID="_1410345203" r:id="rId86"/>
        </w:object>
      </w:r>
      <w:r w:rsidR="00D66F58">
        <w:tab/>
        <w:t xml:space="preserve">           (15)</w:t>
      </w:r>
    </w:p>
    <w:p w:rsidR="006A676C" w:rsidRPr="00DE3DF9" w:rsidRDefault="006A676C" w:rsidP="006A676C"/>
    <w:p w:rsidR="006A676C" w:rsidRPr="00DE3DF9" w:rsidRDefault="006A676C" w:rsidP="006A676C"/>
    <w:p w:rsidR="006A676C" w:rsidRPr="00DE3DF9" w:rsidRDefault="006A676C" w:rsidP="00D66F58">
      <w:pPr>
        <w:ind w:left="720"/>
      </w:pPr>
      <w:r w:rsidRPr="00DD3CB9">
        <w:rPr>
          <w:position w:val="-34"/>
        </w:rPr>
        <w:object w:dxaOrig="5780" w:dyaOrig="800">
          <v:shape id="_x0000_i1064" type="#_x0000_t75" style="width:288.75pt;height:39.75pt" o:ole="">
            <v:imagedata r:id="rId87" o:title=""/>
          </v:shape>
          <o:OLEObject Type="Embed" ProgID="Equation.3" ShapeID="_x0000_i1064" DrawAspect="Content" ObjectID="_1410345204" r:id="rId88"/>
        </w:object>
      </w:r>
    </w:p>
    <w:p w:rsidR="006A676C" w:rsidRPr="00DE3DF9" w:rsidRDefault="006A676C" w:rsidP="006A676C"/>
    <w:p w:rsidR="006A676C" w:rsidRPr="00DE3DF9" w:rsidRDefault="006A676C" w:rsidP="006A676C"/>
    <w:p w:rsidR="006A676C" w:rsidRPr="00DE3DF9" w:rsidRDefault="005E300F" w:rsidP="00D66F58">
      <w:pPr>
        <w:ind w:firstLine="720"/>
      </w:pPr>
      <w:r w:rsidRPr="005E300F">
        <w:rPr>
          <w:position w:val="-32"/>
        </w:rPr>
        <w:object w:dxaOrig="6320" w:dyaOrig="760">
          <v:shape id="_x0000_i1065" type="#_x0000_t75" style="width:315.75pt;height:38.25pt" o:ole="">
            <v:imagedata r:id="rId89" o:title=""/>
          </v:shape>
          <o:OLEObject Type="Embed" ProgID="Equation.3" ShapeID="_x0000_i1065" DrawAspect="Content" ObjectID="_1410345205" r:id="rId90"/>
        </w:object>
      </w:r>
    </w:p>
    <w:p w:rsidR="006A676C" w:rsidRPr="00DE3DF9" w:rsidRDefault="006A676C" w:rsidP="006A676C">
      <w:r w:rsidRPr="00DE3DF9">
        <w:t xml:space="preserve"> </w:t>
      </w:r>
    </w:p>
    <w:p w:rsidR="006A676C" w:rsidRPr="00DE3DF9" w:rsidRDefault="006A676C" w:rsidP="006A676C">
      <w:r w:rsidRPr="00DE3DF9">
        <w:t>Consider a second order difference equation:</w:t>
      </w:r>
    </w:p>
    <w:p w:rsidR="006A676C" w:rsidRPr="00DE3DF9" w:rsidRDefault="006A676C" w:rsidP="006A676C">
      <w:pPr>
        <w:ind w:left="2880" w:firstLine="720"/>
      </w:pPr>
      <w:r w:rsidRPr="001E6509">
        <w:rPr>
          <w:position w:val="-12"/>
        </w:rPr>
        <w:object w:dxaOrig="2120" w:dyaOrig="360">
          <v:shape id="_x0000_i1066" type="#_x0000_t75" style="width:105.75pt;height:18pt" o:ole="">
            <v:imagedata r:id="rId91" o:title=""/>
          </v:shape>
          <o:OLEObject Type="Embed" ProgID="Equation.3" ShapeID="_x0000_i1066" DrawAspect="Content" ObjectID="_1410345206" r:id="rId92"/>
        </w:object>
      </w:r>
    </w:p>
    <w:p w:rsidR="006A676C" w:rsidRPr="00DE3DF9" w:rsidRDefault="006A676C" w:rsidP="006A676C"/>
    <w:p w:rsidR="006A676C" w:rsidRPr="00DE3DF9" w:rsidRDefault="006A676C" w:rsidP="006A676C">
      <w:r w:rsidRPr="00DE3DF9">
        <w:t>The solution is stable</w:t>
      </w:r>
      <w:r w:rsidR="005E300F">
        <w:rPr>
          <w:rStyle w:val="FootnoteReference"/>
        </w:rPr>
        <w:footnoteReference w:id="7"/>
      </w:r>
      <w:r w:rsidRPr="00DE3DF9">
        <w:t xml:space="preserve"> iff</w:t>
      </w:r>
    </w:p>
    <w:p w:rsidR="006A676C" w:rsidRPr="00DE3DF9" w:rsidRDefault="006A676C" w:rsidP="00D66F58">
      <w:pPr>
        <w:ind w:left="2880" w:firstLine="720"/>
      </w:pPr>
      <w:r w:rsidRPr="00DE3DF9">
        <w:t>|a| &lt; 1+b</w:t>
      </w:r>
      <w:r w:rsidR="00D66F58">
        <w:tab/>
      </w:r>
      <w:r w:rsidR="00D66F58">
        <w:tab/>
      </w:r>
      <w:r w:rsidR="00D66F58">
        <w:tab/>
      </w:r>
      <w:r w:rsidR="00D66F58">
        <w:tab/>
        <w:t xml:space="preserve">           (16)</w:t>
      </w:r>
    </w:p>
    <w:p w:rsidR="006A676C" w:rsidRPr="00DE3DF9" w:rsidRDefault="006A676C" w:rsidP="006A676C"/>
    <w:p w:rsidR="006A676C" w:rsidRPr="00DE3DF9" w:rsidRDefault="00D66F58" w:rsidP="006A676C">
      <w:r>
        <w:tab/>
      </w:r>
      <w:r>
        <w:tab/>
      </w:r>
      <w:r>
        <w:tab/>
      </w:r>
      <w:r>
        <w:tab/>
      </w:r>
      <w:r>
        <w:tab/>
      </w:r>
      <w:r w:rsidR="006A676C" w:rsidRPr="00DE3DF9">
        <w:t xml:space="preserve"> b &lt; 1   </w:t>
      </w:r>
      <w:r>
        <w:tab/>
      </w:r>
      <w:r>
        <w:tab/>
      </w:r>
      <w:r>
        <w:tab/>
      </w:r>
      <w:r>
        <w:tab/>
        <w:t xml:space="preserve">           (17)</w:t>
      </w:r>
    </w:p>
    <w:p w:rsidR="006A676C" w:rsidRPr="00DE3DF9" w:rsidRDefault="0008473D" w:rsidP="006A676C">
      <w:r>
        <w:t>Rewriting (15) as</w:t>
      </w:r>
      <w:r w:rsidR="006A676C" w:rsidRPr="00DE3DF9">
        <w:t>:</w:t>
      </w:r>
    </w:p>
    <w:p w:rsidR="006A676C" w:rsidRPr="00D66F58" w:rsidRDefault="006A676C" w:rsidP="006A676C">
      <w:pPr>
        <w:ind w:left="2160" w:firstLine="720"/>
      </w:pPr>
      <w:r w:rsidRPr="001E6509">
        <w:rPr>
          <w:position w:val="-32"/>
        </w:rPr>
        <w:object w:dxaOrig="3739" w:dyaOrig="760">
          <v:shape id="_x0000_i1067" type="#_x0000_t75" style="width:186.75pt;height:38.25pt" o:ole="">
            <v:imagedata r:id="rId93" o:title=""/>
          </v:shape>
          <o:OLEObject Type="Embed" ProgID="Equation.3" ShapeID="_x0000_i1067" DrawAspect="Content" ObjectID="_1410345207" r:id="rId94"/>
        </w:object>
      </w:r>
      <w:r w:rsidR="00D66F58">
        <w:tab/>
        <w:t xml:space="preserve">           (18)</w:t>
      </w:r>
    </w:p>
    <w:p w:rsidR="006A676C" w:rsidRPr="00DE3DF9" w:rsidRDefault="006A676C" w:rsidP="006A676C"/>
    <w:p w:rsidR="006A676C" w:rsidRPr="00DE3DF9" w:rsidRDefault="006A676C" w:rsidP="006A676C"/>
    <w:p w:rsidR="006A676C" w:rsidRPr="00DE3DF9" w:rsidRDefault="003A12ED" w:rsidP="006A676C">
      <w:r w:rsidRPr="003A12ED">
        <w:rPr>
          <w:position w:val="-24"/>
        </w:rPr>
        <w:object w:dxaOrig="2240" w:dyaOrig="620">
          <v:shape id="_x0000_i1068" type="#_x0000_t75" style="width:111.75pt;height:30.75pt" o:ole="">
            <v:imagedata r:id="rId95" o:title=""/>
          </v:shape>
          <o:OLEObject Type="Embed" ProgID="Equation.3" ShapeID="_x0000_i1068" DrawAspect="Content" ObjectID="_1410345208" r:id="rId96"/>
        </w:object>
      </w:r>
      <w:r w:rsidR="00D66F58">
        <w:t xml:space="preserve"> will define the stability of the equation</w:t>
      </w:r>
      <w:r w:rsidR="0008473D">
        <w:t>.</w:t>
      </w:r>
    </w:p>
    <w:p w:rsidR="00D66F58" w:rsidRDefault="00D66F58" w:rsidP="006A676C"/>
    <w:p w:rsidR="006A676C" w:rsidRPr="00DE3DF9" w:rsidRDefault="00D66F58" w:rsidP="006A676C">
      <w:r>
        <w:lastRenderedPageBreak/>
        <w:t>F</w:t>
      </w:r>
      <w:r w:rsidR="006A676C" w:rsidRPr="00DE3DF9">
        <w:t>or the first condition we have</w:t>
      </w:r>
    </w:p>
    <w:p w:rsidR="006A676C" w:rsidRPr="00DE3DF9" w:rsidRDefault="006A676C" w:rsidP="006A676C"/>
    <w:p w:rsidR="006A676C" w:rsidRPr="00DE3DF9" w:rsidRDefault="006A676C" w:rsidP="006A676C">
      <w:pPr>
        <w:ind w:left="2880" w:firstLine="720"/>
        <w:rPr>
          <w:rFonts w:eastAsiaTheme="minorEastAsia"/>
        </w:rPr>
      </w:pPr>
      <w:r>
        <w:rPr>
          <w:rFonts w:eastAsiaTheme="minorEastAsia"/>
        </w:rPr>
        <w:t>1 &lt; A - B</w:t>
      </w:r>
      <w:r w:rsidR="00D66F58">
        <w:rPr>
          <w:rFonts w:eastAsiaTheme="minorEastAsia"/>
        </w:rPr>
        <w:tab/>
      </w:r>
      <w:r w:rsidR="00D66F58">
        <w:rPr>
          <w:rFonts w:eastAsiaTheme="minorEastAsia"/>
        </w:rPr>
        <w:tab/>
      </w:r>
      <w:r w:rsidR="00D66F58">
        <w:rPr>
          <w:rFonts w:eastAsiaTheme="minorEastAsia"/>
        </w:rPr>
        <w:tab/>
      </w:r>
      <w:r w:rsidR="00D66F58">
        <w:rPr>
          <w:rFonts w:eastAsiaTheme="minorEastAsia"/>
        </w:rPr>
        <w:tab/>
        <w:t xml:space="preserve">          (16`)</w:t>
      </w:r>
    </w:p>
    <w:p w:rsidR="006A676C" w:rsidRDefault="00D66F58" w:rsidP="006A676C">
      <w:pPr>
        <w:rPr>
          <w:rFonts w:eastAsiaTheme="minorEastAsia"/>
        </w:rPr>
      </w:pPr>
      <w:r>
        <w:rPr>
          <w:rFonts w:eastAsiaTheme="minorEastAsia"/>
        </w:rPr>
        <w:t>Since,</w:t>
      </w:r>
    </w:p>
    <w:p w:rsidR="00D66F58" w:rsidRDefault="00D66F58" w:rsidP="006A676C">
      <w:pPr>
        <w:rPr>
          <w:rFonts w:eastAsiaTheme="minorEastAsia"/>
        </w:rPr>
      </w:pPr>
    </w:p>
    <w:p w:rsidR="006A676C" w:rsidRPr="00DE3DF9" w:rsidRDefault="006A676C" w:rsidP="00A4650D">
      <w:pPr>
        <w:ind w:left="2880" w:firstLine="720"/>
        <w:rPr>
          <w:rFonts w:eastAsiaTheme="minorEastAsia"/>
        </w:rPr>
      </w:pPr>
      <w:r w:rsidRPr="00D34F1B">
        <w:rPr>
          <w:rFonts w:eastAsiaTheme="minorEastAsia"/>
          <w:position w:val="-34"/>
        </w:rPr>
        <w:object w:dxaOrig="1600" w:dyaOrig="800">
          <v:shape id="_x0000_i1069" type="#_x0000_t75" style="width:80.25pt;height:39.75pt" o:ole="">
            <v:imagedata r:id="rId97" o:title=""/>
          </v:shape>
          <o:OLEObject Type="Embed" ProgID="Equation.3" ShapeID="_x0000_i1069" DrawAspect="Content" ObjectID="_1410345209" r:id="rId98"/>
        </w:object>
      </w:r>
    </w:p>
    <w:p w:rsidR="006A676C" w:rsidRPr="00DE3DF9" w:rsidRDefault="006A676C" w:rsidP="006A676C">
      <w:pPr>
        <w:rPr>
          <w:rFonts w:eastAsiaTheme="minorEastAsia"/>
        </w:rPr>
      </w:pPr>
    </w:p>
    <w:p w:rsidR="006A676C" w:rsidRPr="00DE3DF9" w:rsidRDefault="00D66F58" w:rsidP="00E65791">
      <w:pPr>
        <w:ind w:left="2160" w:firstLine="720"/>
        <w:rPr>
          <w:rFonts w:eastAsiaTheme="minorEastAsia"/>
        </w:rPr>
      </w:pPr>
      <w:r w:rsidRPr="00D34F1B">
        <w:rPr>
          <w:rFonts w:eastAsiaTheme="minorEastAsia"/>
          <w:position w:val="-24"/>
        </w:rPr>
        <w:object w:dxaOrig="3300" w:dyaOrig="620">
          <v:shape id="_x0000_i1070" type="#_x0000_t75" style="width:165pt;height:30.75pt" o:ole="">
            <v:imagedata r:id="rId99" o:title=""/>
          </v:shape>
          <o:OLEObject Type="Embed" ProgID="Equation.3" ShapeID="_x0000_i1070" DrawAspect="Content" ObjectID="_1410345210" r:id="rId100"/>
        </w:object>
      </w:r>
      <w:r>
        <w:rPr>
          <w:rFonts w:eastAsiaTheme="minorEastAsia"/>
        </w:rPr>
        <w:tab/>
        <w:t xml:space="preserve">          </w:t>
      </w:r>
      <w:r w:rsidR="00A4650D">
        <w:rPr>
          <w:rFonts w:eastAsiaTheme="minorEastAsia"/>
        </w:rPr>
        <w:tab/>
        <w:t xml:space="preserve">           </w:t>
      </w:r>
      <w:r>
        <w:rPr>
          <w:rFonts w:eastAsiaTheme="minorEastAsia"/>
        </w:rPr>
        <w:t>(19)</w:t>
      </w:r>
    </w:p>
    <w:p w:rsidR="006A676C" w:rsidRPr="00DE3DF9" w:rsidRDefault="006A676C" w:rsidP="006A676C"/>
    <w:p w:rsidR="006A676C" w:rsidRDefault="006A676C" w:rsidP="00881D13">
      <w:pPr>
        <w:ind w:left="3600" w:firstLine="720"/>
        <w:rPr>
          <w:rFonts w:eastAsiaTheme="minorEastAsia"/>
        </w:rPr>
      </w:pPr>
      <w:r w:rsidRPr="00D34F1B">
        <w:rPr>
          <w:rFonts w:eastAsiaTheme="minorEastAsia"/>
          <w:position w:val="-24"/>
        </w:rPr>
        <w:object w:dxaOrig="780" w:dyaOrig="620">
          <v:shape id="_x0000_i1071" type="#_x0000_t75" style="width:39pt;height:30.75pt" o:ole="">
            <v:imagedata r:id="rId101" o:title=""/>
          </v:shape>
          <o:OLEObject Type="Embed" ProgID="Equation.3" ShapeID="_x0000_i1071" DrawAspect="Content" ObjectID="_1410345211" r:id="rId102"/>
        </w:object>
      </w:r>
      <w:r w:rsidR="00D66F58">
        <w:rPr>
          <w:rFonts w:eastAsiaTheme="minorEastAsia"/>
        </w:rPr>
        <w:tab/>
      </w:r>
      <w:r w:rsidR="00D66F58">
        <w:rPr>
          <w:rFonts w:eastAsiaTheme="minorEastAsia"/>
        </w:rPr>
        <w:tab/>
      </w:r>
      <w:r w:rsidR="00D66F58">
        <w:rPr>
          <w:rFonts w:eastAsiaTheme="minorEastAsia"/>
        </w:rPr>
        <w:tab/>
        <w:t xml:space="preserve">          (17`)</w:t>
      </w:r>
    </w:p>
    <w:p w:rsidR="006A676C" w:rsidRDefault="006A676C" w:rsidP="006A676C">
      <w:pPr>
        <w:ind w:left="3600" w:firstLine="720"/>
        <w:rPr>
          <w:rFonts w:eastAsiaTheme="minorEastAsia"/>
        </w:rPr>
      </w:pPr>
    </w:p>
    <w:p w:rsidR="006A676C" w:rsidRPr="00A4650D" w:rsidRDefault="006A676C" w:rsidP="00A4650D">
      <w:pPr>
        <w:ind w:left="2880" w:firstLine="720"/>
        <w:rPr>
          <w:rFonts w:eastAsiaTheme="minorEastAsia"/>
        </w:rPr>
      </w:pPr>
      <w:r w:rsidRPr="00D34F1B">
        <w:rPr>
          <w:rFonts w:eastAsiaTheme="minorEastAsia"/>
          <w:position w:val="-30"/>
        </w:rPr>
        <w:object w:dxaOrig="1180" w:dyaOrig="720">
          <v:shape id="_x0000_i1072" type="#_x0000_t75" style="width:59.25pt;height:36pt" o:ole="">
            <v:imagedata r:id="rId103" o:title=""/>
          </v:shape>
          <o:OLEObject Type="Embed" ProgID="Equation.3" ShapeID="_x0000_i1072" DrawAspect="Content" ObjectID="_1410345212" r:id="rId104"/>
        </w:object>
      </w:r>
      <w:r w:rsidR="00A4650D">
        <w:rPr>
          <w:rFonts w:eastAsiaTheme="minorEastAsia"/>
        </w:rPr>
        <w:tab/>
      </w:r>
      <w:r w:rsidR="00A4650D">
        <w:rPr>
          <w:rFonts w:eastAsiaTheme="minorEastAsia"/>
        </w:rPr>
        <w:tab/>
      </w:r>
      <w:r w:rsidR="00A4650D">
        <w:rPr>
          <w:rFonts w:eastAsiaTheme="minorEastAsia"/>
        </w:rPr>
        <w:tab/>
      </w:r>
      <w:r w:rsidR="00A4650D">
        <w:rPr>
          <w:rFonts w:eastAsiaTheme="minorEastAsia"/>
        </w:rPr>
        <w:tab/>
        <w:t xml:space="preserve">           (20)</w:t>
      </w:r>
    </w:p>
    <w:p w:rsidR="00145CCD" w:rsidRPr="00881D13" w:rsidRDefault="00145CCD">
      <w:pPr>
        <w:spacing w:line="360" w:lineRule="auto"/>
      </w:pPr>
    </w:p>
    <w:p w:rsidR="0079209C" w:rsidRDefault="000718FB" w:rsidP="003138C6">
      <w:pPr>
        <w:spacing w:line="360" w:lineRule="auto"/>
      </w:pPr>
      <w:r>
        <w:t xml:space="preserve">Condition </w:t>
      </w:r>
      <w:r w:rsidR="0079209C">
        <w:t xml:space="preserve">(20) </w:t>
      </w:r>
      <w:r>
        <w:t xml:space="preserve">defines a cap for </w:t>
      </w:r>
      <w:r w:rsidR="00CD2684">
        <w:t>the weight given to the output gap,</w:t>
      </w:r>
      <w:r w:rsidRPr="00F7160F">
        <w:rPr>
          <w:position w:val="-12"/>
        </w:rPr>
        <w:object w:dxaOrig="260" w:dyaOrig="360">
          <v:shape id="_x0000_i1073" type="#_x0000_t75" style="width:12.75pt;height:18pt" o:ole="">
            <v:imagedata r:id="rId105" o:title=""/>
          </v:shape>
          <o:OLEObject Type="Embed" ProgID="Equation.3" ShapeID="_x0000_i1073" DrawAspect="Content" ObjectID="_1410345213" r:id="rId106"/>
        </w:object>
      </w:r>
      <w:r w:rsidR="00CD2684">
        <w:t>, b</w:t>
      </w:r>
      <w:r>
        <w:t>ut does not impose any</w:t>
      </w:r>
      <w:r w:rsidR="0079209C">
        <w:t xml:space="preserve"> constraint on the weight given to inflation</w:t>
      </w:r>
      <w:r w:rsidR="00CD2684">
        <w:t xml:space="preserve"> deviation, </w:t>
      </w:r>
      <w:r w:rsidR="00CD2684" w:rsidRPr="00461436">
        <w:rPr>
          <w:position w:val="-12"/>
        </w:rPr>
        <w:object w:dxaOrig="279" w:dyaOrig="360">
          <v:shape id="_x0000_i1074" type="#_x0000_t75" style="width:14.25pt;height:18pt" o:ole="">
            <v:imagedata r:id="rId107" o:title=""/>
          </v:shape>
          <o:OLEObject Type="Embed" ProgID="Equation.3" ShapeID="_x0000_i1074" DrawAspect="Content" ObjectID="_1410345214" r:id="rId108"/>
        </w:object>
      </w:r>
      <w:r w:rsidR="0079209C">
        <w:t xml:space="preserve">. </w:t>
      </w:r>
      <w:r>
        <w:t>It</w:t>
      </w:r>
      <w:r w:rsidR="0079209C">
        <w:t xml:space="preserve"> give</w:t>
      </w:r>
      <w:r>
        <w:t>s a high upper bound</w:t>
      </w:r>
      <w:r w:rsidR="0079209C">
        <w:t xml:space="preserve"> for </w:t>
      </w:r>
      <w:r w:rsidR="0079209C" w:rsidRPr="00F7160F">
        <w:rPr>
          <w:position w:val="-12"/>
        </w:rPr>
        <w:object w:dxaOrig="260" w:dyaOrig="360">
          <v:shape id="_x0000_i1075" type="#_x0000_t75" style="width:12.75pt;height:18pt" o:ole="">
            <v:imagedata r:id="rId105" o:title=""/>
          </v:shape>
          <o:OLEObject Type="Embed" ProgID="Equation.3" ShapeID="_x0000_i1075" DrawAspect="Content" ObjectID="_1410345215" r:id="rId109"/>
        </w:object>
      </w:r>
      <w:r w:rsidR="0079209C">
        <w:rPr>
          <w:rStyle w:val="FootnoteReference"/>
        </w:rPr>
        <w:t xml:space="preserve"> </w:t>
      </w:r>
      <w:r w:rsidR="0079209C">
        <w:rPr>
          <w:rStyle w:val="FootnoteReference"/>
        </w:rPr>
        <w:footnoteReference w:id="8"/>
      </w:r>
      <w:r w:rsidR="0079209C">
        <w:t xml:space="preserve">. </w:t>
      </w:r>
      <w:r>
        <w:t xml:space="preserve">Condition (19) </w:t>
      </w:r>
      <w:r w:rsidR="00D71F77">
        <w:t xml:space="preserve">also </w:t>
      </w:r>
      <w:r>
        <w:t xml:space="preserve">defines </w:t>
      </w:r>
      <w:r w:rsidR="00370E67">
        <w:t xml:space="preserve">cap for </w:t>
      </w:r>
      <w:r w:rsidR="00D71F77" w:rsidRPr="00F7160F">
        <w:rPr>
          <w:position w:val="-12"/>
        </w:rPr>
        <w:object w:dxaOrig="260" w:dyaOrig="360">
          <v:shape id="_x0000_i1076" type="#_x0000_t75" style="width:12.75pt;height:18pt" o:ole="">
            <v:imagedata r:id="rId105" o:title=""/>
          </v:shape>
          <o:OLEObject Type="Embed" ProgID="Equation.3" ShapeID="_x0000_i1076" DrawAspect="Content" ObjectID="_1410345216" r:id="rId110"/>
        </w:object>
      </w:r>
      <w:r w:rsidR="00D71F77" w:rsidRPr="00D71F77">
        <w:t xml:space="preserve"> </w:t>
      </w:r>
      <w:r w:rsidR="00D71F77">
        <w:t>and for</w:t>
      </w:r>
      <w:r w:rsidR="00D71F77">
        <w:rPr>
          <w:position w:val="-12"/>
        </w:rPr>
        <w:t xml:space="preserve"> </w:t>
      </w:r>
      <w:r w:rsidR="00CD2684" w:rsidRPr="00461436">
        <w:rPr>
          <w:position w:val="-12"/>
        </w:rPr>
        <w:object w:dxaOrig="279" w:dyaOrig="360">
          <v:shape id="_x0000_i1077" type="#_x0000_t75" style="width:14.25pt;height:18pt" o:ole="">
            <v:imagedata r:id="rId111" o:title=""/>
          </v:shape>
          <o:OLEObject Type="Embed" ProgID="Equation.3" ShapeID="_x0000_i1077" DrawAspect="Content" ObjectID="_1410345217" r:id="rId112"/>
        </w:object>
      </w:r>
      <w:r>
        <w:t xml:space="preserve">. </w:t>
      </w:r>
      <w:r w:rsidR="00370E67">
        <w:t xml:space="preserve">The </w:t>
      </w:r>
      <w:r w:rsidR="00CD2684">
        <w:t xml:space="preserve">cap for </w:t>
      </w:r>
      <w:r w:rsidR="00CD2684" w:rsidRPr="00461436">
        <w:rPr>
          <w:position w:val="-12"/>
        </w:rPr>
        <w:object w:dxaOrig="279" w:dyaOrig="360">
          <v:shape id="_x0000_i1078" type="#_x0000_t75" style="width:14.25pt;height:18pt" o:ole="">
            <v:imagedata r:id="rId113" o:title=""/>
          </v:shape>
          <o:OLEObject Type="Embed" ProgID="Equation.3" ShapeID="_x0000_i1078" DrawAspect="Content" ObjectID="_1410345218" r:id="rId114"/>
        </w:object>
      </w:r>
      <w:r w:rsidR="00370E67">
        <w:t xml:space="preserve"> is negative unless </w:t>
      </w:r>
      <w:r w:rsidR="00370E67" w:rsidRPr="00F7160F">
        <w:rPr>
          <w:position w:val="-12"/>
        </w:rPr>
        <w:object w:dxaOrig="260" w:dyaOrig="360">
          <v:shape id="_x0000_i1079" type="#_x0000_t75" style="width:12.75pt;height:18pt" o:ole="">
            <v:imagedata r:id="rId105" o:title=""/>
          </v:shape>
          <o:OLEObject Type="Embed" ProgID="Equation.3" ShapeID="_x0000_i1079" DrawAspect="Content" ObjectID="_1410345219" r:id="rId115"/>
        </w:object>
      </w:r>
      <w:r w:rsidR="00370E67">
        <w:t xml:space="preserve"> is negative. </w:t>
      </w:r>
      <w:r>
        <w:t>Th</w:t>
      </w:r>
      <w:r w:rsidR="00370E67">
        <w:t>e</w:t>
      </w:r>
      <w:r>
        <w:t xml:space="preserve"> </w:t>
      </w:r>
      <w:r w:rsidR="00D71F77">
        <w:t>cap</w:t>
      </w:r>
      <w:r w:rsidR="00370E67">
        <w:t xml:space="preserve"> for </w:t>
      </w:r>
      <w:r w:rsidR="00370E67" w:rsidRPr="00F7160F">
        <w:rPr>
          <w:position w:val="-12"/>
        </w:rPr>
        <w:object w:dxaOrig="260" w:dyaOrig="360">
          <v:shape id="_x0000_i1080" type="#_x0000_t75" style="width:12.75pt;height:18pt" o:ole="">
            <v:imagedata r:id="rId105" o:title=""/>
          </v:shape>
          <o:OLEObject Type="Embed" ProgID="Equation.3" ShapeID="_x0000_i1080" DrawAspect="Content" ObjectID="_1410345220" r:id="rId116"/>
        </w:object>
      </w:r>
      <w:r w:rsidR="00CD2684">
        <w:t>is a negative value unless</w:t>
      </w:r>
      <w:r>
        <w:t xml:space="preserve"> </w:t>
      </w:r>
      <w:r w:rsidR="00CD2684" w:rsidRPr="00461436">
        <w:rPr>
          <w:position w:val="-12"/>
        </w:rPr>
        <w:object w:dxaOrig="279" w:dyaOrig="360">
          <v:shape id="_x0000_i1081" type="#_x0000_t75" style="width:14.25pt;height:18pt" o:ole="">
            <v:imagedata r:id="rId117" o:title=""/>
          </v:shape>
          <o:OLEObject Type="Embed" ProgID="Equation.3" ShapeID="_x0000_i1081" DrawAspect="Content" ObjectID="_1410345221" r:id="rId118"/>
        </w:object>
      </w:r>
      <w:r>
        <w:t xml:space="preserve"> is negative. </w:t>
      </w:r>
      <w:r w:rsidR="00370E67">
        <w:t xml:space="preserve">Thus </w:t>
      </w:r>
      <w:r w:rsidR="00CD2684">
        <w:t>a</w:t>
      </w:r>
      <w:r w:rsidR="00370E67">
        <w:t xml:space="preserve"> stable policy rule</w:t>
      </w:r>
      <w:r>
        <w:t xml:space="preserve"> impose</w:t>
      </w:r>
      <w:r w:rsidR="00CD2684">
        <w:t xml:space="preserve">s a </w:t>
      </w:r>
      <w:r w:rsidR="00D71F77">
        <w:t xml:space="preserve">negative weight </w:t>
      </w:r>
      <w:r w:rsidR="00370E67">
        <w:t xml:space="preserve">either </w:t>
      </w:r>
      <w:r w:rsidR="00D71F77">
        <w:t xml:space="preserve">on </w:t>
      </w:r>
      <w:r w:rsidR="00370E67">
        <w:t>inflation deviation from target or on the output gap.</w:t>
      </w:r>
      <w:r>
        <w:t xml:space="preserve"> </w:t>
      </w:r>
      <w:r w:rsidR="008E1438">
        <w:rPr>
          <w:b/>
        </w:rPr>
        <w:fldChar w:fldCharType="begin"/>
      </w:r>
      <w:r w:rsidR="0079209C">
        <w:rPr>
          <w:b/>
        </w:rPr>
        <w:instrText xml:space="preserve"> QUOTE </w:instrText>
      </w:r>
      <w:r w:rsidR="00E31CC2" w:rsidRPr="008E1438">
        <w:rPr>
          <w:position w:val="-9"/>
        </w:rPr>
        <w:pict>
          <v:shape id="_x0000_i1082" type="#_x0000_t75" style="width:66pt;height:15pt" equationxml="&lt;">
            <v:imagedata r:id="rId119" o:title="" chromakey="white"/>
          </v:shape>
        </w:pict>
      </w:r>
      <w:r w:rsidR="0079209C">
        <w:rPr>
          <w:b/>
        </w:rPr>
        <w:instrText xml:space="preserve"> </w:instrText>
      </w:r>
      <w:r w:rsidR="008E1438">
        <w:rPr>
          <w:b/>
        </w:rPr>
        <w:fldChar w:fldCharType="end"/>
      </w:r>
      <w:r w:rsidR="0079209C">
        <w:t xml:space="preserve">The </w:t>
      </w:r>
      <w:r w:rsidR="006F10B6">
        <w:t>s</w:t>
      </w:r>
      <w:r w:rsidR="0079209C">
        <w:t xml:space="preserve">tability conditions </w:t>
      </w:r>
      <w:r w:rsidR="006F10B6">
        <w:t>(20) holds but condition (19) is</w:t>
      </w:r>
      <w:r w:rsidR="0079209C">
        <w:t xml:space="preserve"> </w:t>
      </w:r>
      <w:r w:rsidR="00370E67">
        <w:t>not</w:t>
      </w:r>
      <w:r w:rsidR="0079209C">
        <w:t xml:space="preserve"> satisfied for the parameters in Table 1</w:t>
      </w:r>
      <w:r w:rsidR="00370E67">
        <w:t>, so while optimization works with more moderate weights, a policy rule would be unstable</w:t>
      </w:r>
      <w:r w:rsidR="0079209C">
        <w:t>.</w:t>
      </w:r>
      <w:r w:rsidR="005E601A">
        <w:t xml:space="preserve"> </w:t>
      </w:r>
      <w:r w:rsidR="006F10B6">
        <w:t xml:space="preserve">Since the caps derived from condition (19), are lower, it is the operative condition. </w:t>
      </w:r>
      <w:r w:rsidR="005E601A">
        <w:t>Combinations of</w:t>
      </w:r>
      <w:r w:rsidR="006F10B6">
        <w:t xml:space="preserve"> </w:t>
      </w:r>
      <w:r w:rsidR="006F10B6" w:rsidRPr="00461436">
        <w:rPr>
          <w:position w:val="-12"/>
        </w:rPr>
        <w:object w:dxaOrig="279" w:dyaOrig="360">
          <v:shape id="_x0000_i1083" type="#_x0000_t75" style="width:14.25pt;height:18pt" o:ole="">
            <v:imagedata r:id="rId113" o:title=""/>
          </v:shape>
          <o:OLEObject Type="Embed" ProgID="Equation.3" ShapeID="_x0000_i1083" DrawAspect="Content" ObjectID="_1410345222" r:id="rId120"/>
        </w:object>
      </w:r>
      <w:r w:rsidR="006F10B6">
        <w:t xml:space="preserve">and </w:t>
      </w:r>
      <w:r w:rsidR="006F10B6" w:rsidRPr="00F7160F">
        <w:rPr>
          <w:position w:val="-12"/>
        </w:rPr>
        <w:object w:dxaOrig="260" w:dyaOrig="360">
          <v:shape id="_x0000_i1084" type="#_x0000_t75" style="width:12.75pt;height:18pt" o:ole="">
            <v:imagedata r:id="rId105" o:title=""/>
          </v:shape>
          <o:OLEObject Type="Embed" ProgID="Equation.3" ShapeID="_x0000_i1084" DrawAspect="Content" ObjectID="_1410345223" r:id="rId121"/>
        </w:object>
      </w:r>
      <w:r w:rsidR="005E601A">
        <w:t xml:space="preserve"> for which both the conditions are satisfied</w:t>
      </w:r>
      <w:r w:rsidR="00E65791">
        <w:t xml:space="preserve"> with the benchmark calibrations</w:t>
      </w:r>
      <w:r w:rsidR="005E601A">
        <w:t xml:space="preserve">, </w:t>
      </w:r>
      <w:r w:rsidR="006F10B6">
        <w:t>with (19) holding just at the margin</w:t>
      </w:r>
      <w:r w:rsidR="005E601A">
        <w:t>, are</w:t>
      </w:r>
      <w:r w:rsidR="006F10B6">
        <w:t xml:space="preserve"> </w:t>
      </w:r>
      <w:r w:rsidR="006F10B6" w:rsidRPr="00461436">
        <w:rPr>
          <w:position w:val="-12"/>
        </w:rPr>
        <w:object w:dxaOrig="279" w:dyaOrig="360">
          <v:shape id="_x0000_i1085" type="#_x0000_t75" style="width:14.25pt;height:18pt" o:ole="">
            <v:imagedata r:id="rId113" o:title=""/>
          </v:shape>
          <o:OLEObject Type="Embed" ProgID="Equation.3" ShapeID="_x0000_i1085" DrawAspect="Content" ObjectID="_1410345224" r:id="rId122"/>
        </w:object>
      </w:r>
      <w:r w:rsidR="006F10B6">
        <w:t xml:space="preserve">= 2 and </w:t>
      </w:r>
      <w:r w:rsidR="006F10B6" w:rsidRPr="00F7160F">
        <w:rPr>
          <w:position w:val="-12"/>
        </w:rPr>
        <w:object w:dxaOrig="260" w:dyaOrig="360">
          <v:shape id="_x0000_i1086" type="#_x0000_t75" style="width:12.75pt;height:18pt" o:ole="">
            <v:imagedata r:id="rId105" o:title=""/>
          </v:shape>
          <o:OLEObject Type="Embed" ProgID="Equation.3" ShapeID="_x0000_i1086" DrawAspect="Content" ObjectID="_1410345225" r:id="rId123"/>
        </w:object>
      </w:r>
      <w:r w:rsidR="006F10B6" w:rsidRPr="006F10B6">
        <w:t xml:space="preserve"> </w:t>
      </w:r>
      <w:r w:rsidR="006F10B6">
        <w:t xml:space="preserve">= -1.5, or </w:t>
      </w:r>
      <w:r w:rsidR="006F10B6" w:rsidRPr="00461436">
        <w:rPr>
          <w:position w:val="-12"/>
        </w:rPr>
        <w:object w:dxaOrig="279" w:dyaOrig="360">
          <v:shape id="_x0000_i1087" type="#_x0000_t75" style="width:14.25pt;height:18pt" o:ole="">
            <v:imagedata r:id="rId113" o:title=""/>
          </v:shape>
          <o:OLEObject Type="Embed" ProgID="Equation.3" ShapeID="_x0000_i1087" DrawAspect="Content" ObjectID="_1410345226" r:id="rId124"/>
        </w:object>
      </w:r>
      <w:r w:rsidR="006F10B6">
        <w:t xml:space="preserve">= -4.2 and </w:t>
      </w:r>
      <w:r w:rsidR="006F10B6" w:rsidRPr="00F7160F">
        <w:rPr>
          <w:position w:val="-12"/>
        </w:rPr>
        <w:object w:dxaOrig="260" w:dyaOrig="360">
          <v:shape id="_x0000_i1088" type="#_x0000_t75" style="width:12.75pt;height:18pt" o:ole="">
            <v:imagedata r:id="rId105" o:title=""/>
          </v:shape>
          <o:OLEObject Type="Embed" ProgID="Equation.3" ShapeID="_x0000_i1088" DrawAspect="Content" ObjectID="_1410345227" r:id="rId125"/>
        </w:object>
      </w:r>
      <w:r w:rsidR="00E65791">
        <w:t xml:space="preserve">= </w:t>
      </w:r>
      <w:r w:rsidR="006F10B6">
        <w:t xml:space="preserve">1.6. Thus, if the CB was to follow a mechanical rule, it would either have </w:t>
      </w:r>
      <w:r w:rsidR="00E65791">
        <w:t xml:space="preserve">to </w:t>
      </w:r>
      <w:r w:rsidR="006F10B6">
        <w:t>neglect deviations of inflation from the target, or neglect the output gap, for stability.</w:t>
      </w:r>
    </w:p>
    <w:p w:rsidR="006F10B6" w:rsidRDefault="006F10B6" w:rsidP="003138C6">
      <w:pPr>
        <w:spacing w:line="360" w:lineRule="auto"/>
      </w:pPr>
    </w:p>
    <w:p w:rsidR="0079209C" w:rsidRDefault="0079209C" w:rsidP="003138C6">
      <w:pPr>
        <w:spacing w:line="360" w:lineRule="auto"/>
        <w:rPr>
          <w:i/>
          <w:iCs/>
        </w:rPr>
      </w:pPr>
      <w:r>
        <w:rPr>
          <w:i/>
          <w:iCs/>
        </w:rPr>
        <w:t>3.2 Stability introducing government debt in the simulation model</w:t>
      </w:r>
    </w:p>
    <w:p w:rsidR="0079209C" w:rsidRDefault="0079209C" w:rsidP="003138C6">
      <w:pPr>
        <w:spacing w:line="360" w:lineRule="auto"/>
      </w:pPr>
    </w:p>
    <w:p w:rsidR="0079209C" w:rsidRDefault="0079209C" w:rsidP="003138C6">
      <w:pPr>
        <w:spacing w:line="360" w:lineRule="auto"/>
      </w:pPr>
      <w:r>
        <w:lastRenderedPageBreak/>
        <w:t>There are interesting implications for stability when government debt is introduced in the AD and AS model. Deficits and interest payments add to govern</w:t>
      </w:r>
      <w:r w:rsidR="00CE042A">
        <w:t>ment debt. Following Goyal (2011b</w:t>
      </w:r>
      <w:r>
        <w:t>) assume a cashless economy in which all government debt consists of riskless one-period nominal debt. The maturity value of nominal government debt, B</w:t>
      </w:r>
      <w:r>
        <w:rPr>
          <w:vertAlign w:val="subscript"/>
        </w:rPr>
        <w:t>t</w:t>
      </w:r>
      <w:r>
        <w:t>P</w:t>
      </w:r>
      <w:r>
        <w:rPr>
          <w:vertAlign w:val="subscript"/>
        </w:rPr>
        <w:t>t</w:t>
      </w:r>
      <w:r>
        <w:t xml:space="preserve"> changes over time as follows:</w:t>
      </w:r>
    </w:p>
    <w:p w:rsidR="0079209C" w:rsidRDefault="0079209C">
      <w:pPr>
        <w:spacing w:line="360" w:lineRule="auto"/>
        <w:ind w:left="2160" w:firstLine="720"/>
      </w:pPr>
      <w:r w:rsidRPr="00F7160F">
        <w:rPr>
          <w:position w:val="-12"/>
        </w:rPr>
        <w:object w:dxaOrig="3280" w:dyaOrig="360">
          <v:shape id="_x0000_i1089" type="#_x0000_t75" style="width:164.25pt;height:18pt" o:ole="">
            <v:imagedata r:id="rId126" o:title=""/>
          </v:shape>
          <o:OLEObject Type="Embed" ProgID="Equation.3" ShapeID="_x0000_i1089" DrawAspect="Content" ObjectID="_1410345228" r:id="rId127"/>
        </w:object>
      </w:r>
      <w:r>
        <w:tab/>
      </w:r>
      <w:r>
        <w:tab/>
      </w:r>
      <w:r w:rsidR="003138C6">
        <w:t xml:space="preserve">          </w:t>
      </w:r>
      <w:r>
        <w:t xml:space="preserve"> (21)</w:t>
      </w:r>
    </w:p>
    <w:p w:rsidR="0079209C" w:rsidRDefault="0079209C">
      <w:pPr>
        <w:spacing w:line="360" w:lineRule="auto"/>
      </w:pPr>
    </w:p>
    <w:p w:rsidR="0079209C" w:rsidRDefault="0079209C" w:rsidP="003138C6">
      <w:pPr>
        <w:spacing w:line="360" w:lineRule="auto"/>
      </w:pPr>
      <w:r>
        <w:t>The maturity value of real public debt is B</w:t>
      </w:r>
      <w:r>
        <w:rPr>
          <w:vertAlign w:val="subscript"/>
        </w:rPr>
        <w:t>t</w:t>
      </w:r>
      <w:r>
        <w:t>. Real government purchases are G</w:t>
      </w:r>
      <w:r>
        <w:rPr>
          <w:vertAlign w:val="subscript"/>
        </w:rPr>
        <w:t>t</w:t>
      </w:r>
      <w:r>
        <w:t xml:space="preserve"> and nominal net tax collections are T</w:t>
      </w:r>
      <w:r>
        <w:rPr>
          <w:vertAlign w:val="subscript"/>
        </w:rPr>
        <w:t>t</w:t>
      </w:r>
      <w:r>
        <w:t xml:space="preserve"> so that real tax collections are</w:t>
      </w:r>
      <w:r w:rsidRPr="00F7160F">
        <w:rPr>
          <w:position w:val="-12"/>
        </w:rPr>
        <w:object w:dxaOrig="960" w:dyaOrig="360">
          <v:shape id="_x0000_i1090" type="#_x0000_t75" style="width:48pt;height:18pt" o:ole="">
            <v:imagedata r:id="rId128" o:title=""/>
          </v:shape>
          <o:OLEObject Type="Embed" ProgID="Equation.3" ShapeID="_x0000_i1090" DrawAspect="Content" ObjectID="_1410345229" r:id="rId129"/>
        </w:object>
      </w:r>
      <w:r>
        <w:t>. The real debt to output ratio is b</w:t>
      </w:r>
      <w:r>
        <w:rPr>
          <w:vertAlign w:val="subscript"/>
        </w:rPr>
        <w:t>t</w:t>
      </w:r>
      <w:r>
        <w:t xml:space="preserve">. Assuming a positive rate of growth of output g and positive inflation </w:t>
      </w:r>
      <w:r w:rsidRPr="00F7160F">
        <w:rPr>
          <w:position w:val="-10"/>
        </w:rPr>
        <w:object w:dxaOrig="2900" w:dyaOrig="320">
          <v:shape id="_x0000_i1091" type="#_x0000_t75" style="width:162pt;height:18pt" o:ole="">
            <v:imagedata r:id="rId130" o:title=""/>
          </v:shape>
          <o:OLEObject Type="Embed" ProgID="Equation.3" ShapeID="_x0000_i1091" DrawAspect="Content" ObjectID="_1410345230" r:id="rId131"/>
        </w:object>
      </w:r>
      <w:r>
        <w:t xml:space="preserve"> and making other transformations gives: </w:t>
      </w:r>
    </w:p>
    <w:p w:rsidR="0079209C" w:rsidRDefault="0079209C">
      <w:pPr>
        <w:tabs>
          <w:tab w:val="left" w:pos="0"/>
        </w:tabs>
        <w:spacing w:line="360" w:lineRule="auto"/>
      </w:pPr>
      <w:r>
        <w:tab/>
      </w:r>
      <w:r>
        <w:tab/>
      </w:r>
      <w:r>
        <w:tab/>
      </w:r>
      <w:r w:rsidRPr="00F7160F">
        <w:rPr>
          <w:position w:val="-32"/>
        </w:rPr>
        <w:object w:dxaOrig="3980" w:dyaOrig="740">
          <v:shape id="_x0000_i1092" type="#_x0000_t75" style="width:198.75pt;height:36.75pt" o:ole="">
            <v:imagedata r:id="rId132" o:title=""/>
          </v:shape>
          <o:OLEObject Type="Embed" ProgID="Equation.3" ShapeID="_x0000_i1092" DrawAspect="Content" ObjectID="_1410345231" r:id="rId133"/>
        </w:object>
      </w:r>
      <w:r>
        <w:tab/>
      </w:r>
      <w:r>
        <w:tab/>
      </w:r>
      <w:r w:rsidR="003138C6">
        <w:t xml:space="preserve">          </w:t>
      </w:r>
      <w:r>
        <w:t xml:space="preserve"> (22)</w:t>
      </w:r>
      <w:r>
        <w:tab/>
        <w:t xml:space="preserve">   </w:t>
      </w:r>
    </w:p>
    <w:p w:rsidR="0079209C" w:rsidRDefault="0079209C" w:rsidP="003138C6">
      <w:pPr>
        <w:tabs>
          <w:tab w:val="left" w:pos="0"/>
        </w:tabs>
        <w:spacing w:line="360" w:lineRule="auto"/>
      </w:pPr>
      <w:r>
        <w:t xml:space="preserve">Real debt rises with the nominal interest rate, falls with inflation and the growth rate, and rises with the primary deficit ratio </w:t>
      </w:r>
      <w:r w:rsidRPr="00F7160F">
        <w:rPr>
          <w:position w:val="-30"/>
        </w:rPr>
        <w:object w:dxaOrig="820" w:dyaOrig="700">
          <v:shape id="_x0000_i1093" type="#_x0000_t75" style="width:41.25pt;height:35.25pt" o:ole="">
            <v:imagedata r:id="rId134" o:title=""/>
          </v:shape>
          <o:OLEObject Type="Embed" ProgID="Equation.3" ShapeID="_x0000_i1093" DrawAspect="Content" ObjectID="_1410345232" r:id="rId135"/>
        </w:object>
      </w:r>
      <w:r>
        <w:t xml:space="preserve">. </w:t>
      </w:r>
    </w:p>
    <w:p w:rsidR="0079209C" w:rsidRDefault="0079209C" w:rsidP="003138C6">
      <w:pPr>
        <w:spacing w:line="360" w:lineRule="auto"/>
        <w:rPr>
          <w:b/>
        </w:rPr>
      </w:pPr>
    </w:p>
    <w:p w:rsidR="0079209C" w:rsidRDefault="0079209C" w:rsidP="003138C6">
      <w:pPr>
        <w:spacing w:line="360" w:lineRule="auto"/>
      </w:pPr>
      <w:r>
        <w:t>To analyze responses to macroeconomic shocks, it is necessary to linearize (22) around a steady-state. In a steady state with zero inflation and real disturbances, B</w:t>
      </w:r>
      <w:r>
        <w:rPr>
          <w:vertAlign w:val="subscript"/>
        </w:rPr>
        <w:t>t</w:t>
      </w:r>
      <w:r>
        <w:t xml:space="preserve">, real tax collections, </w:t>
      </w:r>
      <w:r w:rsidRPr="00F7160F">
        <w:rPr>
          <w:position w:val="-12"/>
        </w:rPr>
        <w:object w:dxaOrig="960" w:dyaOrig="360">
          <v:shape id="_x0000_i1094" type="#_x0000_t75" style="width:48pt;height:18pt" o:ole="">
            <v:imagedata r:id="rId128" o:title=""/>
          </v:shape>
          <o:OLEObject Type="Embed" ProgID="Equation.3" ShapeID="_x0000_i1094" DrawAspect="Content" ObjectID="_1410345233" r:id="rId136"/>
        </w:object>
      </w:r>
      <w:r>
        <w:t xml:space="preserve">, and G are equal to steady-state values </w:t>
      </w:r>
      <w:r w:rsidRPr="00F7160F">
        <w:rPr>
          <w:position w:val="-8"/>
        </w:rPr>
        <w:object w:dxaOrig="859" w:dyaOrig="340">
          <v:shape id="_x0000_i1095" type="#_x0000_t75" style="width:42.75pt;height:17.25pt" o:ole="">
            <v:imagedata r:id="rId137" o:title=""/>
          </v:shape>
          <o:OLEObject Type="Embed" ProgID="Equation.3" ShapeID="_x0000_i1095" DrawAspect="Content" ObjectID="_1410345234" r:id="rId138"/>
        </w:object>
      </w:r>
      <w:r>
        <w:t xml:space="preserve">, </w:t>
      </w:r>
      <w:r w:rsidRPr="00F7160F">
        <w:rPr>
          <w:position w:val="-6"/>
        </w:rPr>
        <w:object w:dxaOrig="639" w:dyaOrig="320">
          <v:shape id="_x0000_i1096" type="#_x0000_t75" style="width:32.25pt;height:15.75pt" o:ole="">
            <v:imagedata r:id="rId139" o:title=""/>
          </v:shape>
          <o:OLEObject Type="Embed" ProgID="Equation.3" ShapeID="_x0000_i1096" DrawAspect="Content" ObjectID="_1410345235" r:id="rId140"/>
        </w:object>
      </w:r>
      <w:r>
        <w:t xml:space="preserve">, and </w:t>
      </w:r>
      <w:r w:rsidRPr="00F7160F">
        <w:rPr>
          <w:position w:val="-12"/>
        </w:rPr>
        <w:object w:dxaOrig="1840" w:dyaOrig="400">
          <v:shape id="_x0000_i1097" type="#_x0000_t75" style="width:92.25pt;height:20.25pt" o:ole="">
            <v:imagedata r:id="rId141" o:title=""/>
          </v:shape>
          <o:OLEObject Type="Embed" ProgID="Equation.3" ShapeID="_x0000_i1097" DrawAspect="Content" ObjectID="_1410345236" r:id="rId142"/>
        </w:object>
      </w:r>
      <w:r>
        <w:t xml:space="preserve">. If </w:t>
      </w:r>
      <w:r w:rsidRPr="00F7160F">
        <w:rPr>
          <w:position w:val="-12"/>
        </w:rPr>
        <w:object w:dxaOrig="1060" w:dyaOrig="380">
          <v:shape id="_x0000_i1098" type="#_x0000_t75" style="width:53.25pt;height:18.75pt" o:ole="">
            <v:imagedata r:id="rId143" o:title=""/>
          </v:shape>
          <o:OLEObject Type="Embed" ProgID="Equation.3" ShapeID="_x0000_i1098" DrawAspect="Content" ObjectID="_1410345237" r:id="rId144"/>
        </w:object>
      </w:r>
      <w:r>
        <w:t xml:space="preserve">grows at a steady-state growth g, </w:t>
      </w:r>
      <w:r w:rsidRPr="00F7160F">
        <w:rPr>
          <w:position w:val="-4"/>
        </w:rPr>
        <w:object w:dxaOrig="260" w:dyaOrig="300">
          <v:shape id="_x0000_i1099" type="#_x0000_t75" style="width:12.75pt;height:15pt" o:ole="">
            <v:imagedata r:id="rId145" o:title=""/>
          </v:shape>
          <o:OLEObject Type="Embed" ProgID="Equation.3" ShapeID="_x0000_i1099" DrawAspect="Content" ObjectID="_1410345238" r:id="rId146"/>
        </w:object>
      </w:r>
      <w:r>
        <w:t xml:space="preserve">will also grow at the same rate so </w:t>
      </w:r>
      <w:r w:rsidRPr="00F7160F">
        <w:rPr>
          <w:position w:val="-10"/>
        </w:rPr>
        <w:object w:dxaOrig="920" w:dyaOrig="360">
          <v:shape id="_x0000_i1100" type="#_x0000_t75" style="width:45.75pt;height:18pt" o:ole="">
            <v:imagedata r:id="rId147" o:title=""/>
          </v:shape>
          <o:OLEObject Type="Embed" ProgID="Equation.3" ShapeID="_x0000_i1100" DrawAspect="Content" ObjectID="_1410345239" r:id="rId148"/>
        </w:object>
      </w:r>
      <w:r>
        <w:t xml:space="preserve">is constant. For consistency with the evolution of nominal debt (3), steady-state fiscal values must satisfy </w:t>
      </w:r>
      <w:r w:rsidRPr="00F7160F">
        <w:rPr>
          <w:position w:val="-10"/>
        </w:rPr>
        <w:object w:dxaOrig="1700" w:dyaOrig="360">
          <v:shape id="_x0000_i1101" type="#_x0000_t75" style="width:84.75pt;height:18pt" o:ole="">
            <v:imagedata r:id="rId149" o:title=""/>
          </v:shape>
          <o:OLEObject Type="Embed" ProgID="Equation.3" ShapeID="_x0000_i1101" DrawAspect="Content" ObjectID="_1410345240" r:id="rId150"/>
        </w:object>
      </w:r>
      <w:r>
        <w:t>.  The linearization gives:</w:t>
      </w:r>
    </w:p>
    <w:p w:rsidR="0079209C" w:rsidRDefault="0079209C">
      <w:pPr>
        <w:spacing w:line="360" w:lineRule="auto"/>
        <w:jc w:val="both"/>
      </w:pPr>
    </w:p>
    <w:p w:rsidR="0079209C" w:rsidRDefault="0079209C">
      <w:pPr>
        <w:spacing w:line="360" w:lineRule="auto"/>
      </w:pPr>
      <w:r>
        <w:tab/>
      </w:r>
      <w:r>
        <w:tab/>
      </w:r>
      <w:r>
        <w:tab/>
      </w:r>
      <w:r w:rsidRPr="00F7160F">
        <w:rPr>
          <w:position w:val="-14"/>
        </w:rPr>
        <w:object w:dxaOrig="3900" w:dyaOrig="420">
          <v:shape id="_x0000_i1102" type="#_x0000_t75" style="width:195pt;height:21pt" o:ole="">
            <v:imagedata r:id="rId151" o:title=""/>
          </v:shape>
          <o:OLEObject Type="Embed" ProgID="Equation.3" ShapeID="_x0000_i1102" DrawAspect="Content" ObjectID="_1410345241" r:id="rId152"/>
        </w:object>
      </w:r>
      <w:r>
        <w:tab/>
      </w:r>
      <w:r>
        <w:tab/>
      </w:r>
      <w:r w:rsidR="003138C6">
        <w:t xml:space="preserve">          </w:t>
      </w:r>
      <w:r>
        <w:t xml:space="preserve"> (23)</w:t>
      </w:r>
    </w:p>
    <w:p w:rsidR="003138C6" w:rsidRDefault="003138C6">
      <w:pPr>
        <w:spacing w:line="360" w:lineRule="auto"/>
      </w:pPr>
    </w:p>
    <w:p w:rsidR="0079209C" w:rsidRDefault="0079209C" w:rsidP="003138C6">
      <w:pPr>
        <w:spacing w:line="360" w:lineRule="auto"/>
      </w:pPr>
      <w:r>
        <w:t xml:space="preserve">Where </w:t>
      </w:r>
      <w:r w:rsidRPr="00F7160F">
        <w:rPr>
          <w:position w:val="-12"/>
        </w:rPr>
        <w:object w:dxaOrig="3159" w:dyaOrig="400">
          <v:shape id="_x0000_i1103" type="#_x0000_t75" style="width:158.25pt;height:20.25pt" o:ole="">
            <v:imagedata r:id="rId153" o:title=""/>
          </v:shape>
          <o:OLEObject Type="Embed" ProgID="Equation.3" ShapeID="_x0000_i1103" DrawAspect="Content" ObjectID="_1410345242" r:id="rId154"/>
        </w:object>
      </w:r>
      <w:r>
        <w:t xml:space="preserve"> and</w:t>
      </w:r>
      <w:r w:rsidRPr="00F7160F">
        <w:rPr>
          <w:position w:val="-12"/>
        </w:rPr>
        <w:object w:dxaOrig="1640" w:dyaOrig="400">
          <v:shape id="_x0000_i1104" type="#_x0000_t75" style="width:81.75pt;height:20.25pt" o:ole="">
            <v:imagedata r:id="rId155" o:title=""/>
          </v:shape>
          <o:OLEObject Type="Embed" ProgID="Equation.3" ShapeID="_x0000_i1104" DrawAspect="Content" ObjectID="_1410345243" r:id="rId156"/>
        </w:object>
      </w:r>
      <w:r>
        <w:t xml:space="preserve">, and </w:t>
      </w:r>
      <w:r w:rsidRPr="00F7160F">
        <w:rPr>
          <w:position w:val="-12"/>
        </w:rPr>
        <w:object w:dxaOrig="940" w:dyaOrig="400">
          <v:shape id="_x0000_i1105" type="#_x0000_t75" style="width:47.25pt;height:20.25pt" o:ole="">
            <v:imagedata r:id="rId157" o:title=""/>
          </v:shape>
          <o:OLEObject Type="Embed" ProgID="Equation.3" ShapeID="_x0000_i1105" DrawAspect="Content" ObjectID="_1410345244" r:id="rId158"/>
        </w:object>
      </w:r>
      <w:r>
        <w:t xml:space="preserve">. The term in steady-state growth g in equation (23) comes from assuming a steady-state </w:t>
      </w:r>
      <w:r>
        <w:lastRenderedPageBreak/>
        <w:t xml:space="preserve">rate of growth </w:t>
      </w:r>
      <w:r>
        <w:rPr>
          <w:i/>
          <w:iCs/>
        </w:rPr>
        <w:t>g</w:t>
      </w:r>
      <w:r>
        <w:t xml:space="preserve"> of natural output </w:t>
      </w:r>
      <w:r w:rsidRPr="00F7160F">
        <w:rPr>
          <w:position w:val="-12"/>
        </w:rPr>
        <w:object w:dxaOrig="260" w:dyaOrig="400">
          <v:shape id="_x0000_i1106" type="#_x0000_t75" style="width:12.75pt;height:20.25pt" o:ole="">
            <v:imagedata r:id="rId159" o:title=""/>
          </v:shape>
          <o:OLEObject Type="Embed" ProgID="Equation.3" ShapeID="_x0000_i1106" DrawAspect="Content" ObjectID="_1410345245" r:id="rId160"/>
        </w:object>
      </w:r>
      <w:r>
        <w:t>so that</w:t>
      </w:r>
      <w:r w:rsidRPr="00F7160F">
        <w:rPr>
          <w:position w:val="-12"/>
        </w:rPr>
        <w:object w:dxaOrig="820" w:dyaOrig="380">
          <v:shape id="_x0000_i1107" type="#_x0000_t75" style="width:41.25pt;height:18.75pt" o:ole="">
            <v:imagedata r:id="rId161" o:title=""/>
          </v:shape>
          <o:OLEObject Type="Embed" ProgID="Equation.3" ShapeID="_x0000_i1107" DrawAspect="Content" ObjectID="_1410345246" r:id="rId162"/>
        </w:object>
      </w:r>
      <w:r>
        <w:t xml:space="preserve">. Such growth is to be expected for an emerging market in the process of converging to world output levels. </w:t>
      </w:r>
    </w:p>
    <w:p w:rsidR="0079209C" w:rsidRDefault="0079209C" w:rsidP="003138C6">
      <w:pPr>
        <w:spacing w:line="360" w:lineRule="auto"/>
      </w:pPr>
    </w:p>
    <w:p w:rsidR="0079209C" w:rsidRDefault="0079209C" w:rsidP="003138C6">
      <w:pPr>
        <w:spacing w:line="360" w:lineRule="auto"/>
      </w:pPr>
      <w:r>
        <w:t>For determination of a local equilibrium it is sufficient to consider fiscal rules that are nearly consistent with a steady state</w:t>
      </w:r>
      <w:r>
        <w:rPr>
          <w:rStyle w:val="FootnoteReference"/>
        </w:rPr>
        <w:footnoteReference w:id="9"/>
      </w:r>
      <w:r>
        <w:t xml:space="preserve">. Woodford (2003, pp.312) defines a fiscal or tax rule as </w:t>
      </w:r>
      <w:r>
        <w:rPr>
          <w:i/>
          <w:iCs/>
        </w:rPr>
        <w:t>locally Ricardian</w:t>
      </w:r>
      <w:r>
        <w:t xml:space="preserve"> if on substituting into the local flow budget constraint (23) “it implies that {b</w:t>
      </w:r>
      <w:r>
        <w:rPr>
          <w:vertAlign w:val="subscript"/>
        </w:rPr>
        <w:t>t</w:t>
      </w:r>
      <w:r>
        <w:t xml:space="preserve">} remains forever within a bounded neighborhood of </w:t>
      </w:r>
      <w:r w:rsidRPr="00F7160F">
        <w:rPr>
          <w:position w:val="-4"/>
        </w:rPr>
        <w:object w:dxaOrig="260" w:dyaOrig="300">
          <v:shape id="_x0000_i1108" type="#_x0000_t75" style="width:12.75pt;height:15pt" o:ole="">
            <v:imagedata r:id="rId163" o:title=""/>
          </v:shape>
          <o:OLEObject Type="Embed" ProgID="Equation.3" ShapeID="_x0000_i1108" DrawAspect="Content" ObjectID="_1410345247" r:id="rId164"/>
        </w:object>
      </w:r>
      <w:r>
        <w:t>, for all paths of the endogenous variables {</w:t>
      </w:r>
      <w:r>
        <w:sym w:font="Symbol" w:char="F070"/>
      </w:r>
      <w:r>
        <w:rPr>
          <w:vertAlign w:val="subscript"/>
        </w:rPr>
        <w:t>t</w:t>
      </w:r>
      <w:r>
        <w:t>, Y</w:t>
      </w:r>
      <w:r>
        <w:rPr>
          <w:vertAlign w:val="subscript"/>
        </w:rPr>
        <w:t>t</w:t>
      </w:r>
      <w:r>
        <w:t>, i</w:t>
      </w:r>
      <w:r>
        <w:rPr>
          <w:vertAlign w:val="subscript"/>
        </w:rPr>
        <w:t>t</w:t>
      </w:r>
      <w:r>
        <w:t xml:space="preserve">} that remain forever within some sufficiently small neighborhoods of the steady-state values </w:t>
      </w:r>
      <w:r w:rsidRPr="00F7160F">
        <w:rPr>
          <w:position w:val="-10"/>
        </w:rPr>
        <w:object w:dxaOrig="760" w:dyaOrig="360">
          <v:shape id="_x0000_i1109" type="#_x0000_t75" style="width:38.25pt;height:18pt" o:ole="">
            <v:imagedata r:id="rId165" o:title=""/>
          </v:shape>
          <o:OLEObject Type="Embed" ProgID="Equation.3" ShapeID="_x0000_i1109" DrawAspect="Content" ObjectID="_1410345248" r:id="rId166"/>
        </w:object>
      </w:r>
      <w:r>
        <w:t xml:space="preserve">, and all small enough values of the exogenous disturbances (including </w:t>
      </w:r>
      <w:r w:rsidRPr="00F7160F">
        <w:rPr>
          <w:position w:val="-12"/>
        </w:rPr>
        <w:object w:dxaOrig="300" w:dyaOrig="400">
          <v:shape id="_x0000_i1110" type="#_x0000_t75" style="width:15pt;height:20.25pt" o:ole="">
            <v:imagedata r:id="rId167" o:title=""/>
          </v:shape>
          <o:OLEObject Type="Embed" ProgID="Equation.3" ShapeID="_x0000_i1110" DrawAspect="Content" ObjectID="_1410345249" r:id="rId168"/>
        </w:object>
      </w:r>
      <w:r>
        <w:t>).” With this condition, the fiscal policy rule can be neglected, since the monetary policy rule and the outcomes of equilibrium inflation, output and interest rates do not depend on the paths of either of the purely fiscal variables {B</w:t>
      </w:r>
      <w:r>
        <w:rPr>
          <w:vertAlign w:val="subscript"/>
        </w:rPr>
        <w:t>t</w:t>
      </w:r>
      <w:r>
        <w:t xml:space="preserve">, </w:t>
      </w:r>
      <w:r>
        <w:sym w:font="Symbol" w:char="F074"/>
      </w:r>
      <w:r>
        <w:rPr>
          <w:vertAlign w:val="subscript"/>
        </w:rPr>
        <w:t>t</w:t>
      </w:r>
      <w:r>
        <w:t xml:space="preserve">}. They cancel out in the individual’s budget constraint. </w:t>
      </w:r>
    </w:p>
    <w:p w:rsidR="0079209C" w:rsidRDefault="0079209C" w:rsidP="003138C6">
      <w:pPr>
        <w:spacing w:line="360" w:lineRule="auto"/>
      </w:pPr>
    </w:p>
    <w:p w:rsidR="0079209C" w:rsidRDefault="0079209C" w:rsidP="003138C6">
      <w:pPr>
        <w:spacing w:line="360" w:lineRule="auto"/>
      </w:pPr>
      <w:r>
        <w:t xml:space="preserve">Consider a linear approximation (24) to a tax rule where </w:t>
      </w:r>
      <w:r>
        <w:sym w:font="Symbol" w:char="F074"/>
      </w:r>
      <w:r>
        <w:rPr>
          <w:vertAlign w:val="subscript"/>
        </w:rPr>
        <w:t xml:space="preserve">b </w:t>
      </w:r>
      <w:r>
        <w:t xml:space="preserve">and </w:t>
      </w:r>
      <w:r>
        <w:sym w:font="Symbol" w:char="F074"/>
      </w:r>
      <w:r>
        <w:rPr>
          <w:vertAlign w:val="subscript"/>
        </w:rPr>
        <w:t>g</w:t>
      </w:r>
      <w:r>
        <w:t xml:space="preserve"> are the respective response coefficients of taxes to deviations in debt ratio and in government expenditure:</w:t>
      </w:r>
    </w:p>
    <w:p w:rsidR="0079209C" w:rsidRDefault="0079209C">
      <w:pPr>
        <w:spacing w:line="360" w:lineRule="auto"/>
      </w:pPr>
      <w:r>
        <w:tab/>
      </w:r>
      <w:r>
        <w:tab/>
      </w:r>
      <w:r>
        <w:tab/>
      </w:r>
      <w:r>
        <w:tab/>
      </w:r>
      <w:r>
        <w:tab/>
      </w:r>
      <w:r w:rsidRPr="00F7160F">
        <w:rPr>
          <w:position w:val="-14"/>
        </w:rPr>
        <w:object w:dxaOrig="1719" w:dyaOrig="440">
          <v:shape id="_x0000_i1111" type="#_x0000_t75" style="width:86.25pt;height:21.75pt" o:ole="">
            <v:imagedata r:id="rId169" o:title=""/>
          </v:shape>
          <o:OLEObject Type="Embed" ProgID="Equation.3" ShapeID="_x0000_i1111" DrawAspect="Content" ObjectID="_1410345250" r:id="rId170"/>
        </w:object>
      </w:r>
      <w:r>
        <w:tab/>
      </w:r>
      <w:r>
        <w:tab/>
      </w:r>
      <w:r w:rsidR="003138C6">
        <w:t xml:space="preserve">   </w:t>
      </w:r>
      <w:r w:rsidR="003138C6">
        <w:tab/>
        <w:t xml:space="preserve">      </w:t>
      </w:r>
      <w:r>
        <w:t xml:space="preserve">     (24)</w:t>
      </w:r>
    </w:p>
    <w:p w:rsidR="003138C6" w:rsidRDefault="003138C6">
      <w:pPr>
        <w:spacing w:line="360" w:lineRule="auto"/>
      </w:pPr>
    </w:p>
    <w:p w:rsidR="0079209C" w:rsidRDefault="0079209C">
      <w:pPr>
        <w:spacing w:line="360" w:lineRule="auto"/>
      </w:pPr>
      <w:r>
        <w:t xml:space="preserve">Substituting this into (23) gives a law of motion for real government debt (25). </w:t>
      </w:r>
    </w:p>
    <w:p w:rsidR="0079209C" w:rsidRDefault="0079209C">
      <w:pPr>
        <w:spacing w:line="360" w:lineRule="auto"/>
      </w:pPr>
    </w:p>
    <w:p w:rsidR="0079209C" w:rsidRDefault="0079209C">
      <w:pPr>
        <w:spacing w:line="360" w:lineRule="auto"/>
        <w:ind w:left="1440" w:firstLine="720"/>
      </w:pPr>
      <w:r w:rsidRPr="00F7160F">
        <w:rPr>
          <w:position w:val="-16"/>
        </w:rPr>
        <w:object w:dxaOrig="5160" w:dyaOrig="480">
          <v:shape id="_x0000_i1112" type="#_x0000_t75" style="width:258pt;height:24pt" o:ole="">
            <v:imagedata r:id="rId171" o:title=""/>
          </v:shape>
          <o:OLEObject Type="Embed" ProgID="Equation.3" ShapeID="_x0000_i1112" DrawAspect="Content" ObjectID="_1410345251" r:id="rId172"/>
        </w:object>
      </w:r>
      <w:r w:rsidR="003138C6">
        <w:t xml:space="preserve">         </w:t>
      </w:r>
      <w:r>
        <w:t>(25)</w:t>
      </w:r>
    </w:p>
    <w:p w:rsidR="0079209C" w:rsidRDefault="0079209C">
      <w:pPr>
        <w:spacing w:line="360" w:lineRule="auto"/>
      </w:pPr>
    </w:p>
    <w:p w:rsidR="0079209C" w:rsidRDefault="0079209C">
      <w:pPr>
        <w:spacing w:line="360" w:lineRule="auto"/>
      </w:pPr>
      <w:r>
        <w:t>The latter is stable or the tax rule (24) is locally Ricardian if and only if:</w:t>
      </w:r>
    </w:p>
    <w:p w:rsidR="0079209C" w:rsidRDefault="0079209C">
      <w:pPr>
        <w:spacing w:line="360" w:lineRule="auto"/>
        <w:ind w:left="2160" w:firstLine="720"/>
      </w:pPr>
      <w:r w:rsidRPr="00F7160F">
        <w:rPr>
          <w:position w:val="-16"/>
        </w:rPr>
        <w:object w:dxaOrig="1480" w:dyaOrig="440">
          <v:shape id="_x0000_i1113" type="#_x0000_t75" style="width:74.25pt;height:21.75pt" o:ole="">
            <v:imagedata r:id="rId173" o:title=""/>
          </v:shape>
          <o:OLEObject Type="Embed" ProgID="Equation.3" ShapeID="_x0000_i1113" DrawAspect="Content" ObjectID="_1410345252" r:id="rId174"/>
        </w:object>
      </w:r>
      <w:r>
        <w:tab/>
      </w:r>
      <w:r>
        <w:tab/>
      </w:r>
      <w:r>
        <w:tab/>
      </w:r>
      <w:r>
        <w:tab/>
      </w:r>
      <w:r w:rsidR="003138C6">
        <w:t xml:space="preserve">       </w:t>
      </w:r>
      <w:r>
        <w:t xml:space="preserve">    (26)</w:t>
      </w:r>
    </w:p>
    <w:p w:rsidR="003138C6" w:rsidRDefault="003138C6">
      <w:pPr>
        <w:spacing w:line="360" w:lineRule="auto"/>
        <w:ind w:left="2160" w:firstLine="720"/>
      </w:pPr>
    </w:p>
    <w:p w:rsidR="0079209C" w:rsidRDefault="0079209C" w:rsidP="003138C6">
      <w:pPr>
        <w:spacing w:line="360" w:lineRule="auto"/>
      </w:pPr>
      <w:r>
        <w:t xml:space="preserve">Or if </w:t>
      </w:r>
      <w:r w:rsidRPr="00F7160F">
        <w:rPr>
          <w:position w:val="-12"/>
        </w:rPr>
        <w:object w:dxaOrig="600" w:dyaOrig="360">
          <v:shape id="_x0000_i1114" type="#_x0000_t75" style="width:30pt;height:18pt" o:ole="">
            <v:imagedata r:id="rId175" o:title=""/>
          </v:shape>
          <o:OLEObject Type="Embed" ProgID="Equation.3" ShapeID="_x0000_i1114" DrawAspect="Content" ObjectID="_1410345253" r:id="rId176"/>
        </w:object>
      </w:r>
      <w:r>
        <w:t xml:space="preserve">, then fiscal policy or the tax rule is locally Ricardian if and only if </w:t>
      </w:r>
      <w:r w:rsidRPr="00F7160F">
        <w:rPr>
          <w:position w:val="-12"/>
        </w:rPr>
        <w:object w:dxaOrig="1020" w:dyaOrig="360">
          <v:shape id="_x0000_i1115" type="#_x0000_t75" style="width:51pt;height:18pt" o:ole="">
            <v:imagedata r:id="rId177" o:title=""/>
          </v:shape>
          <o:OLEObject Type="Embed" ProgID="Equation.3" ShapeID="_x0000_i1115" DrawAspect="Content" ObjectID="_1410345254" r:id="rId178"/>
        </w:object>
      </w:r>
      <w:r>
        <w:t xml:space="preserve">. Woodford (2003) also shows if fiscal policy is locally Ricardian, equilibrium is determinate if and only if the response of monetary policy to inflation </w:t>
      </w:r>
      <w:r>
        <w:lastRenderedPageBreak/>
        <w:t xml:space="preserve">exceeds unity, where an equilibrium is “(locally) </w:t>
      </w:r>
      <w:r>
        <w:rPr>
          <w:i/>
          <w:iCs/>
        </w:rPr>
        <w:t>determinate</w:t>
      </w:r>
      <w:r>
        <w:t xml:space="preserve"> if and only if there are unique bounded equilibrium processes for all of the endogenous variables {b</w:t>
      </w:r>
      <w:r>
        <w:rPr>
          <w:vertAlign w:val="subscript"/>
        </w:rPr>
        <w:t>t</w:t>
      </w:r>
      <w:r>
        <w:t xml:space="preserve">, </w:t>
      </w:r>
      <w:r>
        <w:sym w:font="Symbol" w:char="F070"/>
      </w:r>
      <w:r>
        <w:rPr>
          <w:vertAlign w:val="subscript"/>
        </w:rPr>
        <w:t>t</w:t>
      </w:r>
      <w:r>
        <w:t>, Y</w:t>
      </w:r>
      <w:r>
        <w:rPr>
          <w:vertAlign w:val="subscript"/>
        </w:rPr>
        <w:t>t</w:t>
      </w:r>
      <w:r>
        <w:t>, i</w:t>
      </w:r>
      <w:r>
        <w:rPr>
          <w:vertAlign w:val="subscript"/>
        </w:rPr>
        <w:t>t</w:t>
      </w:r>
      <w:r>
        <w:t xml:space="preserve">} for sufficiently tightly bounded processes for the exogenous disturbances (pp. 314)”.  </w:t>
      </w:r>
    </w:p>
    <w:p w:rsidR="0079209C" w:rsidRDefault="0079209C" w:rsidP="003138C6">
      <w:pPr>
        <w:spacing w:line="360" w:lineRule="auto"/>
      </w:pPr>
    </w:p>
    <w:p w:rsidR="0079209C" w:rsidRDefault="0079209C" w:rsidP="003138C6">
      <w:pPr>
        <w:spacing w:line="360" w:lineRule="auto"/>
      </w:pPr>
      <w:r>
        <w:t>We define a new concept of semi-stable equilibrium:</w:t>
      </w:r>
    </w:p>
    <w:p w:rsidR="0079209C" w:rsidRDefault="0079209C" w:rsidP="003138C6">
      <w:pPr>
        <w:spacing w:line="360" w:lineRule="auto"/>
      </w:pPr>
    </w:p>
    <w:p w:rsidR="0079209C" w:rsidRDefault="0079209C" w:rsidP="003138C6">
      <w:pPr>
        <w:spacing w:line="360" w:lineRule="auto"/>
      </w:pPr>
      <w:r>
        <w:rPr>
          <w:i/>
          <w:iCs/>
        </w:rPr>
        <w:t>Definition</w:t>
      </w:r>
      <w:r>
        <w:t>: Equilibrium is semi stable if and only if there are unique converging processes for all the endogenous variables for large but bounded exogenous disturbances. It differs from Woodfords definition in that the bounds on the equilibrium processes for the endogenous variables can be large.</w:t>
      </w:r>
    </w:p>
    <w:p w:rsidR="0079209C" w:rsidRDefault="0079209C" w:rsidP="003138C6">
      <w:pPr>
        <w:spacing w:line="360" w:lineRule="auto"/>
      </w:pPr>
    </w:p>
    <w:p w:rsidR="0079209C" w:rsidRDefault="0079209C" w:rsidP="003138C6">
      <w:pPr>
        <w:spacing w:line="360" w:lineRule="auto"/>
      </w:pPr>
      <w:r>
        <w:t xml:space="preserve">The AD, AS system plus the evolution of debt (25) require the additional stability condition (26). </w:t>
      </w:r>
    </w:p>
    <w:p w:rsidR="0079209C" w:rsidRDefault="0079209C" w:rsidP="003138C6">
      <w:pPr>
        <w:spacing w:line="360" w:lineRule="auto"/>
      </w:pPr>
    </w:p>
    <w:p w:rsidR="0079209C" w:rsidRDefault="0079209C" w:rsidP="003138C6">
      <w:pPr>
        <w:spacing w:line="360" w:lineRule="auto"/>
      </w:pPr>
      <w:r>
        <w:t>Formal stability analysis also demonstrates this. Writing the AD, AS system of equations as:</w:t>
      </w:r>
    </w:p>
    <w:p w:rsidR="0079209C" w:rsidRDefault="0079209C">
      <w:pPr>
        <w:spacing w:line="360" w:lineRule="auto"/>
      </w:pPr>
      <w:r>
        <w:tab/>
      </w:r>
      <w:r>
        <w:tab/>
      </w:r>
      <w:r>
        <w:tab/>
      </w:r>
      <w:r w:rsidR="008E1438">
        <w:fldChar w:fldCharType="begin"/>
      </w:r>
      <w:r>
        <w:instrText xml:space="preserve"> QUOTE </w:instrText>
      </w:r>
      <w:r w:rsidR="00E31CC2" w:rsidRPr="008E1438">
        <w:rPr>
          <w:position w:val="-23"/>
        </w:rPr>
        <w:pict>
          <v:shape id="_x0000_i1116" type="#_x0000_t75" style="width:182.25pt;height:27pt" equationxml="&lt;">
            <v:imagedata r:id="rId179" o:title="" chromakey="white"/>
          </v:shape>
        </w:pict>
      </w:r>
      <w:r>
        <w:instrText xml:space="preserve"> </w:instrText>
      </w:r>
      <w:r w:rsidR="008E1438">
        <w:fldChar w:fldCharType="end"/>
      </w:r>
      <w:r>
        <w:t xml:space="preserve"> </w:t>
      </w:r>
      <w:r w:rsidR="00881D13" w:rsidRPr="00F7160F">
        <w:rPr>
          <w:position w:val="-32"/>
        </w:rPr>
        <w:object w:dxaOrig="3780" w:dyaOrig="760">
          <v:shape id="_x0000_i1117" type="#_x0000_t75" style="width:189pt;height:38.25pt" o:ole="">
            <v:imagedata r:id="rId180" o:title=""/>
          </v:shape>
          <o:OLEObject Type="Embed" ProgID="Equation.3" ShapeID="_x0000_i1117" DrawAspect="Content" ObjectID="_1410345255" r:id="rId181"/>
        </w:object>
      </w:r>
      <w:r>
        <w:tab/>
      </w:r>
      <w:r>
        <w:tab/>
      </w:r>
      <w:r w:rsidR="003138C6">
        <w:t xml:space="preserve">       </w:t>
      </w:r>
      <w:r>
        <w:t xml:space="preserve">    (27)</w:t>
      </w:r>
    </w:p>
    <w:p w:rsidR="003138C6" w:rsidRDefault="003138C6">
      <w:pPr>
        <w:spacing w:line="360" w:lineRule="auto"/>
      </w:pPr>
    </w:p>
    <w:p w:rsidR="0079209C" w:rsidRDefault="0079209C">
      <w:pPr>
        <w:spacing w:line="360" w:lineRule="auto"/>
      </w:pPr>
      <w:r>
        <w:t>Let:</w:t>
      </w:r>
      <w:r w:rsidR="008E1438">
        <w:fldChar w:fldCharType="begin"/>
      </w:r>
      <w:r>
        <w:instrText xml:space="preserve"> QUOTE </w:instrText>
      </w:r>
      <w:r w:rsidR="00E31CC2">
        <w:pict>
          <v:shape id="_x0000_i1118" type="#_x0000_t75" style="width:6in;height:42.75pt" equationxml="&lt;">
            <v:imagedata r:id="rId182" o:title="" chromakey="white"/>
          </v:shape>
        </w:pict>
      </w:r>
      <w:r>
        <w:instrText xml:space="preserve"> </w:instrText>
      </w:r>
      <w:r w:rsidR="008E1438">
        <w:fldChar w:fldCharType="end"/>
      </w:r>
      <w:r>
        <w:t xml:space="preserve"> </w:t>
      </w:r>
    </w:p>
    <w:p w:rsidR="0079209C" w:rsidRDefault="00881D13">
      <w:pPr>
        <w:spacing w:line="360" w:lineRule="auto"/>
        <w:ind w:left="1440" w:firstLine="720"/>
      </w:pPr>
      <w:r w:rsidRPr="00F7160F">
        <w:rPr>
          <w:position w:val="-32"/>
        </w:rPr>
        <w:object w:dxaOrig="4880" w:dyaOrig="760">
          <v:shape id="_x0000_i1119" type="#_x0000_t75" style="width:244.5pt;height:38.25pt" o:ole="">
            <v:imagedata r:id="rId183" o:title=""/>
          </v:shape>
          <o:OLEObject Type="Embed" ProgID="Equation.3" ShapeID="_x0000_i1119" DrawAspect="Content" ObjectID="_1410345256" r:id="rId184"/>
        </w:object>
      </w:r>
    </w:p>
    <w:p w:rsidR="003138C6" w:rsidRDefault="003138C6">
      <w:pPr>
        <w:spacing w:line="360" w:lineRule="auto"/>
        <w:ind w:left="1440" w:firstLine="720"/>
      </w:pPr>
    </w:p>
    <w:p w:rsidR="0079209C" w:rsidRDefault="0079209C">
      <w:pPr>
        <w:spacing w:line="360" w:lineRule="auto"/>
      </w:pPr>
      <w:r>
        <w:t>Adding the debt equation gives a system of equations of the form:</w:t>
      </w:r>
    </w:p>
    <w:p w:rsidR="0079209C" w:rsidRDefault="0079209C">
      <w:pPr>
        <w:spacing w:line="360" w:lineRule="auto"/>
        <w:ind w:left="1440" w:firstLine="720"/>
      </w:pPr>
      <w:r w:rsidRPr="00F7160F">
        <w:rPr>
          <w:position w:val="-34"/>
        </w:rPr>
        <w:object w:dxaOrig="3780" w:dyaOrig="800">
          <v:shape id="_x0000_i1120" type="#_x0000_t75" style="width:189pt;height:39.75pt" o:ole="">
            <v:imagedata r:id="rId185" o:title=""/>
          </v:shape>
          <o:OLEObject Type="Embed" ProgID="Equation.3" ShapeID="_x0000_i1120" DrawAspect="Content" ObjectID="_1410345257" r:id="rId186"/>
        </w:object>
      </w:r>
      <w:r>
        <w:tab/>
      </w:r>
      <w:r>
        <w:tab/>
      </w:r>
      <w:r w:rsidR="003138C6">
        <w:t xml:space="preserve">           </w:t>
      </w:r>
      <w:r>
        <w:t>(28)</w:t>
      </w:r>
    </w:p>
    <w:p w:rsidR="003138C6" w:rsidRDefault="003138C6">
      <w:pPr>
        <w:spacing w:line="360" w:lineRule="auto"/>
        <w:ind w:left="1440" w:firstLine="720"/>
      </w:pPr>
    </w:p>
    <w:p w:rsidR="0079209C" w:rsidRDefault="0079209C" w:rsidP="003138C6">
      <w:pPr>
        <w:spacing w:line="360" w:lineRule="auto"/>
        <w:ind w:left="90"/>
      </w:pPr>
      <w:r>
        <w:t xml:space="preserve">Where </w:t>
      </w:r>
      <w:r w:rsidRPr="00F7160F">
        <w:rPr>
          <w:position w:val="-6"/>
        </w:rPr>
        <w:object w:dxaOrig="240" w:dyaOrig="279">
          <v:shape id="_x0000_i1121" type="#_x0000_t75" style="width:12pt;height:14.25pt" o:ole="">
            <v:imagedata r:id="rId187" o:title=""/>
          </v:shape>
          <o:OLEObject Type="Embed" ProgID="Equation.3" ShapeID="_x0000_i1121" DrawAspect="Content" ObjectID="_1410345258" r:id="rId188"/>
        </w:object>
      </w:r>
      <w:r>
        <w:t xml:space="preserve">just includes </w:t>
      </w:r>
      <w:r w:rsidRPr="00F7160F">
        <w:rPr>
          <w:position w:val="-6"/>
        </w:rPr>
        <w:object w:dxaOrig="220" w:dyaOrig="320">
          <v:shape id="_x0000_i1122" type="#_x0000_t75" style="width:11.25pt;height:15.75pt" o:ole="">
            <v:imagedata r:id="rId189" o:title=""/>
          </v:shape>
          <o:OLEObject Type="Embed" ProgID="Equation.3" ShapeID="_x0000_i1122" DrawAspect="Content" ObjectID="_1410345259" r:id="rId190"/>
        </w:object>
      </w:r>
      <w:r>
        <w:t xml:space="preserve"> and vector of zeroes.</w:t>
      </w:r>
    </w:p>
    <w:p w:rsidR="0079209C" w:rsidRDefault="0079209C" w:rsidP="003138C6">
      <w:pPr>
        <w:spacing w:line="360" w:lineRule="auto"/>
        <w:ind w:left="90"/>
      </w:pPr>
    </w:p>
    <w:p w:rsidR="0079209C" w:rsidRDefault="0079209C" w:rsidP="003138C6">
      <w:pPr>
        <w:spacing w:line="360" w:lineRule="auto"/>
      </w:pPr>
      <w:r>
        <w:t xml:space="preserve">Because the matrix is block diagonal, its eigenvalues are the eigenvalues of D and the diagonal </w:t>
      </w:r>
      <w:r w:rsidR="00AC703B">
        <w:t>element</w:t>
      </w:r>
      <w:r w:rsidR="00AC703B" w:rsidRPr="00AC703B">
        <w:rPr>
          <w:position w:val="-12"/>
        </w:rPr>
        <w:object w:dxaOrig="1100" w:dyaOrig="380">
          <v:shape id="_x0000_i1123" type="#_x0000_t75" style="width:54.75pt;height:18.75pt" o:ole="">
            <v:imagedata r:id="rId191" o:title=""/>
          </v:shape>
          <o:OLEObject Type="Embed" ProgID="Equation.3" ShapeID="_x0000_i1123" DrawAspect="Content" ObjectID="_1410345260" r:id="rId192"/>
        </w:object>
      </w:r>
      <w:r w:rsidR="008E1438">
        <w:fldChar w:fldCharType="begin"/>
      </w:r>
      <w:r>
        <w:instrText xml:space="preserve"> QUOTE </w:instrText>
      </w:r>
      <w:r w:rsidR="00E31CC2" w:rsidRPr="008E1438">
        <w:rPr>
          <w:position w:val="-11"/>
        </w:rPr>
        <w:pict>
          <v:shape id="_x0000_i1124" type="#_x0000_t75" style="width:57pt;height:17.25pt" equationxml="&lt;">
            <v:imagedata r:id="rId193" o:title="" chromakey="white"/>
          </v:shape>
        </w:pict>
      </w:r>
      <w:r>
        <w:instrText xml:space="preserve"> </w:instrText>
      </w:r>
      <w:r w:rsidR="008E1438">
        <w:fldChar w:fldCharType="end"/>
      </w:r>
      <w:r>
        <w:t xml:space="preserve">. Therefore determinacy requires eigenvalues of D in mod </w:t>
      </w:r>
      <w:r>
        <w:lastRenderedPageBreak/>
        <w:t xml:space="preserve">form should be outside the unit circle and the value of </w:t>
      </w:r>
      <w:r w:rsidR="00AC703B" w:rsidRPr="00AC703B">
        <w:rPr>
          <w:position w:val="-12"/>
        </w:rPr>
        <w:object w:dxaOrig="1100" w:dyaOrig="380">
          <v:shape id="_x0000_i1125" type="#_x0000_t75" style="width:54.75pt;height:18.75pt" o:ole="">
            <v:imagedata r:id="rId194" o:title=""/>
          </v:shape>
          <o:OLEObject Type="Embed" ProgID="Equation.3" ShapeID="_x0000_i1125" DrawAspect="Content" ObjectID="_1410345261" r:id="rId195"/>
        </w:object>
      </w:r>
      <w:r>
        <w:t xml:space="preserve"> should be inside the unit circle. The latter is the case of a locally Ricardian fiscal rule</w:t>
      </w:r>
      <w:r>
        <w:rPr>
          <w:rStyle w:val="FootnoteReference"/>
        </w:rPr>
        <w:footnoteReference w:id="10"/>
      </w:r>
      <w:r>
        <w:t xml:space="preserve">.  </w:t>
      </w:r>
    </w:p>
    <w:p w:rsidR="0079209C" w:rsidRDefault="0079209C" w:rsidP="003138C6">
      <w:pPr>
        <w:spacing w:line="360" w:lineRule="auto"/>
      </w:pPr>
    </w:p>
    <w:p w:rsidR="0079209C" w:rsidRDefault="0079209C" w:rsidP="003138C6">
      <w:pPr>
        <w:spacing w:line="360" w:lineRule="auto"/>
      </w:pPr>
      <w:r>
        <w:t>If fiscal policy is locally non-Ricardian, bounded paths for the endogenous variables will require monetary policy to violate the Taylor Principle and moderate its response to inflation in order to prevent government debt from exploding. So unsustainable borrowing will require monetary accommodation.</w:t>
      </w:r>
    </w:p>
    <w:p w:rsidR="0079209C" w:rsidRDefault="0079209C" w:rsidP="003138C6">
      <w:pPr>
        <w:spacing w:line="360" w:lineRule="auto"/>
      </w:pPr>
    </w:p>
    <w:p w:rsidR="0079209C" w:rsidRDefault="0079209C" w:rsidP="003138C6">
      <w:pPr>
        <w:spacing w:line="360" w:lineRule="auto"/>
        <w:rPr>
          <w:b/>
          <w:bCs/>
        </w:rPr>
      </w:pPr>
      <w:r>
        <w:rPr>
          <w:b/>
          <w:bCs/>
        </w:rPr>
        <w:t>4. Response to shocks</w:t>
      </w:r>
    </w:p>
    <w:p w:rsidR="0079209C" w:rsidRDefault="006F10B6" w:rsidP="003138C6">
      <w:pPr>
        <w:spacing w:line="360" w:lineRule="auto"/>
      </w:pPr>
      <w:r>
        <w:t>A</w:t>
      </w:r>
      <w:r w:rsidR="0079209C">
        <w:t>nalytically deriv</w:t>
      </w:r>
      <w:r>
        <w:t>ing</w:t>
      </w:r>
      <w:r w:rsidR="0079209C">
        <w:t xml:space="preserve"> the response to monetary shocks v</w:t>
      </w:r>
      <w:r w:rsidR="0079209C">
        <w:rPr>
          <w:vertAlign w:val="subscript"/>
        </w:rPr>
        <w:t>t</w:t>
      </w:r>
      <w:r w:rsidR="0079209C">
        <w:t xml:space="preserve"> </w:t>
      </w:r>
      <w:r>
        <w:t xml:space="preserve">from the policy rule, </w:t>
      </w:r>
      <w:r w:rsidR="0079209C">
        <w:t>using the method of undetermined coefficients (derived in Appendix C):</w:t>
      </w:r>
    </w:p>
    <w:p w:rsidR="0079209C" w:rsidRDefault="003138C6" w:rsidP="003138C6">
      <w:pPr>
        <w:spacing w:line="360" w:lineRule="auto"/>
        <w:ind w:firstLine="720"/>
      </w:pPr>
      <w:r>
        <w:t xml:space="preserve">   </w:t>
      </w:r>
      <w:r w:rsidR="00881D13">
        <w:tab/>
      </w:r>
      <w:r>
        <w:t xml:space="preserve"> </w:t>
      </w:r>
      <w:r w:rsidR="0079209C" w:rsidRPr="00F7160F">
        <w:rPr>
          <w:position w:val="-12"/>
        </w:rPr>
        <w:object w:dxaOrig="1240" w:dyaOrig="360">
          <v:shape id="_x0000_i1225" type="#_x0000_t75" style="width:62.25pt;height:18pt" o:ole="">
            <v:imagedata r:id="rId196" o:title=""/>
          </v:shape>
          <o:OLEObject Type="Embed" ProgID="Equation.3" ShapeID="_x0000_i1225" DrawAspect="Content" ObjectID="_1410345262" r:id="rId197"/>
        </w:object>
      </w:r>
      <w:r w:rsidR="0079209C">
        <w:t xml:space="preserve"> where </w:t>
      </w:r>
      <w:r w:rsidR="00C71B3C" w:rsidRPr="00881D13">
        <w:rPr>
          <w:position w:val="-64"/>
        </w:rPr>
        <w:object w:dxaOrig="3000" w:dyaOrig="1040">
          <v:shape id="_x0000_i1226" type="#_x0000_t75" style="width:150pt;height:51.75pt" o:ole="">
            <v:imagedata r:id="rId198" o:title=""/>
          </v:shape>
          <o:OLEObject Type="Embed" ProgID="Equation.3" ShapeID="_x0000_i1226" DrawAspect="Content" ObjectID="_1410345263" r:id="rId199"/>
        </w:object>
      </w:r>
      <w:r>
        <w:t xml:space="preserve">          </w:t>
      </w:r>
      <w:r w:rsidR="00E76764">
        <w:tab/>
        <w:t xml:space="preserve">           </w:t>
      </w:r>
      <w:r>
        <w:t>(</w:t>
      </w:r>
      <w:r w:rsidR="0079209C">
        <w:t>29)</w:t>
      </w:r>
    </w:p>
    <w:p w:rsidR="0079209C" w:rsidRDefault="0079209C">
      <w:pPr>
        <w:spacing w:line="360" w:lineRule="auto"/>
        <w:ind w:left="720" w:firstLine="720"/>
      </w:pPr>
    </w:p>
    <w:p w:rsidR="0079209C" w:rsidRDefault="0079209C">
      <w:pPr>
        <w:spacing w:line="360" w:lineRule="auto"/>
        <w:ind w:left="720" w:firstLine="720"/>
      </w:pPr>
      <w:r w:rsidRPr="00F7160F">
        <w:rPr>
          <w:position w:val="-30"/>
        </w:rPr>
        <w:object w:dxaOrig="4340" w:dyaOrig="680">
          <v:shape id="_x0000_i1227" type="#_x0000_t75" style="width:216.75pt;height:33.75pt" o:ole="">
            <v:imagedata r:id="rId200" o:title=""/>
          </v:shape>
          <o:OLEObject Type="Embed" ProgID="Equation.3" ShapeID="_x0000_i1227" DrawAspect="Content" ObjectID="_1410345264" r:id="rId201"/>
        </w:object>
      </w:r>
      <w:r>
        <w:tab/>
      </w:r>
      <w:r w:rsidR="00205CF3">
        <w:t xml:space="preserve">     </w:t>
      </w:r>
      <w:r>
        <w:tab/>
        <w:t xml:space="preserve">     </w:t>
      </w:r>
      <w:r w:rsidR="00205CF3">
        <w:t xml:space="preserve">      (</w:t>
      </w:r>
      <w:r>
        <w:t>30)</w:t>
      </w:r>
    </w:p>
    <w:p w:rsidR="0079209C" w:rsidRDefault="0079209C">
      <w:pPr>
        <w:spacing w:line="360" w:lineRule="auto"/>
      </w:pPr>
    </w:p>
    <w:p w:rsidR="0079209C" w:rsidRDefault="0079209C" w:rsidP="004D4F74">
      <w:pPr>
        <w:spacing w:line="360" w:lineRule="auto"/>
      </w:pPr>
      <w:r>
        <w:t>With the benchmark parameters of Table 1, a persistent rise in v</w:t>
      </w:r>
      <w:r>
        <w:rPr>
          <w:vertAlign w:val="subscript"/>
        </w:rPr>
        <w:t>t</w:t>
      </w:r>
      <w:r>
        <w:t xml:space="preserve"> (monetary tightening) of 0.1 leads to a fall in inflation of 0.</w:t>
      </w:r>
      <w:r w:rsidR="006F10B6">
        <w:t>0</w:t>
      </w:r>
      <w:r>
        <w:t>03 and in output of 0.000</w:t>
      </w:r>
      <w:r w:rsidR="006F10B6">
        <w:t>051</w:t>
      </w:r>
      <w:r>
        <w:t xml:space="preserve">. </w:t>
      </w:r>
      <w:r w:rsidR="006F10B6">
        <w:t>Optimization is more effective,</w:t>
      </w:r>
      <w:r>
        <w:t xml:space="preserve"> </w:t>
      </w:r>
      <w:r w:rsidR="006F10B6">
        <w:t>since</w:t>
      </w:r>
      <w:r>
        <w:t xml:space="preserve"> a natura</w:t>
      </w:r>
      <w:r w:rsidR="006F10B6">
        <w:t>l rate shock in the simulations</w:t>
      </w:r>
      <w:r>
        <w:t xml:space="preserve"> raises the policy rate by 0.013 and reduces inflation by 0.0</w:t>
      </w:r>
      <w:r w:rsidR="004D4F74">
        <w:t>1</w:t>
      </w:r>
      <w:r>
        <w:t xml:space="preserve"> and output by 0.0</w:t>
      </w:r>
      <w:r w:rsidR="004D4F74">
        <w:t>0</w:t>
      </w:r>
      <w:r>
        <w:t>6 in the first period. The effect is stronger under optimization but in the same direction as with a policy rule.</w:t>
      </w:r>
      <w:r w:rsidR="00F2096F">
        <w:t xml:space="preserve"> With the stable weight combination</w:t>
      </w:r>
      <w:r w:rsidR="004D4F74">
        <w:t xml:space="preserve"> of </w:t>
      </w:r>
      <w:r w:rsidR="004D4F74" w:rsidRPr="00461436">
        <w:rPr>
          <w:position w:val="-12"/>
        </w:rPr>
        <w:object w:dxaOrig="279" w:dyaOrig="360">
          <v:shape id="_x0000_i1228" type="#_x0000_t75" style="width:14.25pt;height:18pt" o:ole="">
            <v:imagedata r:id="rId113" o:title=""/>
          </v:shape>
          <o:OLEObject Type="Embed" ProgID="Equation.3" ShapeID="_x0000_i1228" DrawAspect="Content" ObjectID="_1410345265" r:id="rId202"/>
        </w:object>
      </w:r>
      <w:r w:rsidR="004D4F74">
        <w:t xml:space="preserve">= -4.2 and </w:t>
      </w:r>
      <w:r w:rsidR="004D4F74" w:rsidRPr="00F7160F">
        <w:rPr>
          <w:position w:val="-12"/>
        </w:rPr>
        <w:object w:dxaOrig="260" w:dyaOrig="360">
          <v:shape id="_x0000_i1229" type="#_x0000_t75" style="width:12.75pt;height:18pt" o:ole="">
            <v:imagedata r:id="rId105" o:title=""/>
          </v:shape>
          <o:OLEObject Type="Embed" ProgID="Equation.3" ShapeID="_x0000_i1229" DrawAspect="Content" ObjectID="_1410345266" r:id="rId203"/>
        </w:object>
      </w:r>
      <w:r w:rsidR="004D4F74">
        <w:t>= 1.6</w:t>
      </w:r>
      <w:r w:rsidR="00F2096F">
        <w:t>, under the monetary rule, the fall in inflation is less (0.0065) and output is more (0.0011). So weights under the optimizing framework have a lower output cost.</w:t>
      </w:r>
    </w:p>
    <w:p w:rsidR="0079209C" w:rsidRDefault="0079209C">
      <w:pPr>
        <w:spacing w:line="360" w:lineRule="auto"/>
        <w:jc w:val="both"/>
      </w:pPr>
    </w:p>
    <w:p w:rsidR="0079209C" w:rsidRDefault="0079209C">
      <w:pPr>
        <w:spacing w:line="360" w:lineRule="auto"/>
        <w:jc w:val="both"/>
      </w:pPr>
      <w:r>
        <w:t xml:space="preserve">A key result, supported by the analysis and the simulations, is: lags and rigidities in the SOEME, make it stable for a coefficient of inflation, in both the loss function and the policy rule, </w:t>
      </w:r>
      <w:r w:rsidR="004B6661">
        <w:t>that differs from</w:t>
      </w:r>
      <w:r>
        <w:t xml:space="preserve"> unity.  </w:t>
      </w:r>
    </w:p>
    <w:p w:rsidR="0079209C" w:rsidRDefault="0079209C">
      <w:pPr>
        <w:spacing w:line="360" w:lineRule="auto"/>
        <w:jc w:val="both"/>
      </w:pPr>
    </w:p>
    <w:p w:rsidR="0079209C" w:rsidRPr="005333AF" w:rsidRDefault="0079209C" w:rsidP="00205CF3">
      <w:pPr>
        <w:spacing w:line="360" w:lineRule="auto"/>
        <w:rPr>
          <w:i/>
          <w:iCs/>
        </w:rPr>
      </w:pPr>
      <w:r w:rsidRPr="005333AF">
        <w:rPr>
          <w:i/>
          <w:iCs/>
        </w:rPr>
        <w:lastRenderedPageBreak/>
        <w:t>4.1 Simulated response</w:t>
      </w:r>
      <w:r w:rsidR="005333AF" w:rsidRPr="005333AF">
        <w:rPr>
          <w:i/>
          <w:iCs/>
        </w:rPr>
        <w:t xml:space="preserve"> to shock</w:t>
      </w:r>
      <w:r w:rsidRPr="005333AF">
        <w:rPr>
          <w:i/>
          <w:iCs/>
        </w:rPr>
        <w:t>s in the SOEME debt model</w:t>
      </w:r>
    </w:p>
    <w:p w:rsidR="0079209C" w:rsidRDefault="0079209C" w:rsidP="00205CF3">
      <w:pPr>
        <w:pStyle w:val="Default"/>
        <w:spacing w:line="360" w:lineRule="auto"/>
      </w:pPr>
      <w:r>
        <w:t>The additional parameters in the simulated SOEME debt model are also given in Table 1. They are calibrated on Indian data</w:t>
      </w:r>
      <w:r>
        <w:rPr>
          <w:rStyle w:val="FootnoteReference"/>
        </w:rPr>
        <w:footnoteReference w:id="11"/>
      </w:r>
      <w:r>
        <w:t>. The effects of shocks to domestic inflation, to the natural rate, and to government expendit</w:t>
      </w:r>
      <w:r w:rsidR="00CE042A">
        <w:t>ure were explored in Goyal (2011b</w:t>
      </w:r>
      <w:r>
        <w:t xml:space="preserve">). Each shock was of the same generic form. The </w:t>
      </w:r>
      <w:r w:rsidRPr="00F7160F">
        <w:rPr>
          <w:position w:val="-6"/>
        </w:rPr>
        <w:object w:dxaOrig="220" w:dyaOrig="300">
          <v:shape id="_x0000_i1126" type="#_x0000_t75" style="width:11.25pt;height:15pt" o:ole="">
            <v:imagedata r:id="rId204" o:title=""/>
          </v:shape>
          <o:OLEObject Type="Embed" ProgID="Equation.3" ShapeID="_x0000_i1126" DrawAspect="Content" ObjectID="_1410345267" r:id="rId205"/>
        </w:object>
      </w:r>
      <w:r>
        <w:t xml:space="preserve"> shock, for example, can be written as</w:t>
      </w:r>
      <w:r w:rsidRPr="00F7160F">
        <w:rPr>
          <w:position w:val="-10"/>
        </w:rPr>
        <w:object w:dxaOrig="1380" w:dyaOrig="340">
          <v:shape id="_x0000_i1127" type="#_x0000_t75" style="width:69pt;height:17.25pt" o:ole="">
            <v:imagedata r:id="rId206" o:title=""/>
          </v:shape>
          <o:OLEObject Type="Embed" ProgID="Equation.3" ShapeID="_x0000_i1127" DrawAspect="Content" ObjectID="_1410345268" r:id="rId207"/>
        </w:object>
      </w:r>
      <w:r>
        <w:t xml:space="preserve">. </w:t>
      </w:r>
    </w:p>
    <w:p w:rsidR="0079209C" w:rsidRDefault="0079209C" w:rsidP="00205CF3">
      <w:pPr>
        <w:pStyle w:val="Default"/>
        <w:spacing w:line="360" w:lineRule="auto"/>
      </w:pPr>
    </w:p>
    <w:p w:rsidR="0079209C" w:rsidRDefault="0079209C" w:rsidP="00205CF3">
      <w:pPr>
        <w:pStyle w:val="Default"/>
        <w:spacing w:line="360" w:lineRule="auto"/>
      </w:pPr>
      <w:r>
        <w:t xml:space="preserve">The cost shock has the least persistence and its effects therefore were the most transient. Inflation following the cost shock led to a fall in </w:t>
      </w:r>
      <w:r w:rsidRPr="00F7160F">
        <w:rPr>
          <w:position w:val="-12"/>
        </w:rPr>
        <w:object w:dxaOrig="240" w:dyaOrig="400">
          <v:shape id="_x0000_i1128" type="#_x0000_t75" style="width:12pt;height:20.25pt" o:ole="">
            <v:imagedata r:id="rId208" o:title=""/>
          </v:shape>
          <o:OLEObject Type="Embed" ProgID="Equation.3" ShapeID="_x0000_i1128" DrawAspect="Content" ObjectID="_1410345269" r:id="rId209"/>
        </w:object>
      </w:r>
      <w:r>
        <w:t xml:space="preserve"> but the system was back at its steady state value in 4 periods.</w:t>
      </w:r>
    </w:p>
    <w:p w:rsidR="0079209C" w:rsidRDefault="0079209C" w:rsidP="00205CF3">
      <w:pPr>
        <w:spacing w:line="360" w:lineRule="auto"/>
      </w:pPr>
    </w:p>
    <w:p w:rsidR="0079209C" w:rsidRDefault="0079209C" w:rsidP="00205CF3">
      <w:pPr>
        <w:spacing w:line="360" w:lineRule="auto"/>
      </w:pPr>
      <w:r>
        <w:t xml:space="preserve">If natural rates fell, </w:t>
      </w:r>
      <w:r w:rsidRPr="00F7160F">
        <w:rPr>
          <w:position w:val="-12"/>
        </w:rPr>
        <w:object w:dxaOrig="240" w:dyaOrig="400">
          <v:shape id="_x0000_i1129" type="#_x0000_t75" style="width:12pt;height:20.25pt" o:ole="">
            <v:imagedata r:id="rId208" o:title=""/>
          </v:shape>
          <o:OLEObject Type="Embed" ProgID="Equation.3" ShapeID="_x0000_i1129" DrawAspect="Content" ObjectID="_1410345270" r:id="rId210"/>
        </w:object>
      </w:r>
      <w:r>
        <w:t>rose sharply, as the government borrowed against the rise in potential output due to a positive supply shock, or spent to maintain demand after a negative demand shock, or compensated for a fall in c</w:t>
      </w:r>
      <w:r>
        <w:rPr>
          <w:vertAlign w:val="subscript"/>
        </w:rPr>
        <w:t>P</w:t>
      </w:r>
      <w:r>
        <w:t xml:space="preserve">. These are all factors reducing natural rates. This fiscal response dominated the reduction in </w:t>
      </w:r>
      <w:r w:rsidRPr="00F7160F">
        <w:rPr>
          <w:position w:val="-6"/>
        </w:rPr>
        <w:object w:dxaOrig="200" w:dyaOrig="340">
          <v:shape id="_x0000_i1130" type="#_x0000_t75" style="width:9.75pt;height:17.25pt" o:ole="">
            <v:imagedata r:id="rId211" o:title=""/>
          </v:shape>
          <o:OLEObject Type="Embed" ProgID="Equation.3" ShapeID="_x0000_i1130" DrawAspect="Content" ObjectID="_1410345271" r:id="rId212"/>
        </w:object>
      </w:r>
      <w:r>
        <w:t xml:space="preserve"> due to the fall in interest rates, which equation (25) shows should occur. Since the policy rate fell less than the natural rate, the output gap rose, explaining some of the adjustments. Convergence back to the steady state was slow, not fully completed in the 12 periods. </w:t>
      </w:r>
    </w:p>
    <w:p w:rsidR="0079209C" w:rsidRDefault="0079209C" w:rsidP="00205CF3">
      <w:pPr>
        <w:spacing w:line="360" w:lineRule="auto"/>
      </w:pPr>
    </w:p>
    <w:p w:rsidR="0079209C" w:rsidRDefault="0079209C" w:rsidP="00205CF3">
      <w:pPr>
        <w:spacing w:line="360" w:lineRule="auto"/>
      </w:pPr>
      <w:r>
        <w:t xml:space="preserve">Sensitivity analysis for both types of shocks was similar except for the response to changes in g. A shock to the consumption of the poor induced the government to borrow more under higher growth, but the reduction in the debt ratio under higher growth reduced the deviation of debt under a cost shock. A fall in </w:t>
      </w:r>
      <w:r w:rsidRPr="00F7160F">
        <w:rPr>
          <w:position w:val="-12"/>
        </w:rPr>
        <w:object w:dxaOrig="260" w:dyaOrig="360">
          <v:shape id="_x0000_i1131" type="#_x0000_t75" style="width:12.75pt;height:18pt" o:ole="">
            <v:imagedata r:id="rId213" o:title=""/>
          </v:shape>
          <o:OLEObject Type="Embed" ProgID="Equation.3" ShapeID="_x0000_i1131" DrawAspect="Content" ObjectID="_1410345272" r:id="rId214"/>
        </w:object>
      </w:r>
      <w:r>
        <w:t xml:space="preserve">reduced the deviation from steady state debt, since adjustment back would be more difficult. A lower </w:t>
      </w:r>
      <w:r w:rsidRPr="00F7160F">
        <w:rPr>
          <w:position w:val="-6"/>
        </w:rPr>
        <w:object w:dxaOrig="220" w:dyaOrig="320">
          <v:shape id="_x0000_i1132" type="#_x0000_t75" style="width:11.25pt;height:15.75pt" o:ole="">
            <v:imagedata r:id="rId215" o:title=""/>
          </v:shape>
          <o:OLEObject Type="Embed" ProgID="Equation.3" ShapeID="_x0000_i1132" DrawAspect="Content" ObjectID="_1410345273" r:id="rId216"/>
        </w:object>
      </w:r>
      <w:r>
        <w:t>, however did not lead to a rise in borrowing as could be expected if steady-state debt was low. Instead, as lower servicing costs reduced current borrowing requirement,</w:t>
      </w:r>
      <w:r w:rsidRPr="00F7160F">
        <w:rPr>
          <w:position w:val="-12"/>
        </w:rPr>
        <w:object w:dxaOrig="240" w:dyaOrig="400">
          <v:shape id="_x0000_i1133" type="#_x0000_t75" style="width:12pt;height:20.25pt" o:ole="">
            <v:imagedata r:id="rId208" o:title=""/>
          </v:shape>
          <o:OLEObject Type="Embed" ProgID="Equation.3" ShapeID="_x0000_i1133" DrawAspect="Content" ObjectID="_1410345274" r:id="rId217"/>
        </w:object>
      </w:r>
      <w:r>
        <w:t xml:space="preserve">rose less. </w:t>
      </w:r>
    </w:p>
    <w:p w:rsidR="0079209C" w:rsidRDefault="0079209C" w:rsidP="00205CF3">
      <w:pPr>
        <w:spacing w:line="360" w:lineRule="auto"/>
      </w:pPr>
    </w:p>
    <w:p w:rsidR="0079209C" w:rsidRDefault="0079209C" w:rsidP="00205CF3">
      <w:pPr>
        <w:spacing w:line="360" w:lineRule="auto"/>
      </w:pPr>
      <w:r>
        <w:t xml:space="preserve">In accordance with theoretical results on response to inflation, equilibrium did not exist if </w:t>
      </w:r>
      <w:r w:rsidRPr="00F7160F">
        <w:rPr>
          <w:position w:val="-12"/>
        </w:rPr>
        <w:object w:dxaOrig="300" w:dyaOrig="360">
          <v:shape id="_x0000_i1134" type="#_x0000_t75" style="width:15pt;height:18pt" o:ole="">
            <v:imagedata r:id="rId218" o:title=""/>
          </v:shape>
          <o:OLEObject Type="Embed" ProgID="Equation.3" ShapeID="_x0000_i1134" DrawAspect="Content" ObjectID="_1410345275" r:id="rId219"/>
        </w:object>
      </w:r>
      <w:r>
        <w:t xml:space="preserve">&lt;1 (Figures 1 and 2). But under both cost and natural rate shocks, if </w:t>
      </w:r>
      <w:r w:rsidRPr="00F7160F">
        <w:rPr>
          <w:position w:val="-12"/>
        </w:rPr>
        <w:object w:dxaOrig="300" w:dyaOrig="360">
          <v:shape id="_x0000_i1135" type="#_x0000_t75" style="width:15pt;height:18pt" o:ole="">
            <v:imagedata r:id="rId218" o:title=""/>
          </v:shape>
          <o:OLEObject Type="Embed" ProgID="Equation.3" ShapeID="_x0000_i1135" DrawAspect="Content" ObjectID="_1410345276" r:id="rId220"/>
        </w:object>
      </w:r>
      <w:r>
        <w:t xml:space="preserve">=1.1 instead of the benchmark 2, equilibrium existed with lower policy rates. This monetary accommodation reduced the change in debt, since debt rises with interest rates.  But deviations in the other macroeconomic variables increased because of the lower policy response. </w:t>
      </w:r>
    </w:p>
    <w:p w:rsidR="0079209C" w:rsidRDefault="0079209C" w:rsidP="00205CF3">
      <w:pPr>
        <w:spacing w:line="360" w:lineRule="auto"/>
      </w:pPr>
    </w:p>
    <w:p w:rsidR="0079209C" w:rsidRDefault="0079209C" w:rsidP="00205CF3">
      <w:pPr>
        <w:spacing w:line="360" w:lineRule="auto"/>
      </w:pPr>
      <w:r>
        <w:t xml:space="preserve">Since, in a model with debt the forward-looking component of behavior increases, </w:t>
      </w:r>
      <w:r w:rsidRPr="00F7160F">
        <w:rPr>
          <w:position w:val="-12"/>
        </w:rPr>
        <w:object w:dxaOrig="300" w:dyaOrig="360">
          <v:shape id="_x0000_i1136" type="#_x0000_t75" style="width:15pt;height:18pt" o:ole="">
            <v:imagedata r:id="rId218" o:title=""/>
          </v:shape>
          <o:OLEObject Type="Embed" ProgID="Equation.3" ShapeID="_x0000_i1136" DrawAspect="Content" ObjectID="_1410345277" r:id="rId221"/>
        </w:object>
      </w:r>
      <w:r>
        <w:t>has to be higher than it is in the optimizing SOEME model for equilibrium to exist.  But the leeway in stability that results from the lags and other structural aspects such as a positive steady-state growth built in, shows up in the SOEME debt model in more relaxed restrictions on</w:t>
      </w:r>
      <w:r w:rsidRPr="00F7160F">
        <w:rPr>
          <w:position w:val="-12"/>
        </w:rPr>
        <w:object w:dxaOrig="260" w:dyaOrig="360">
          <v:shape id="_x0000_i1137" type="#_x0000_t75" style="width:12.75pt;height:18pt" o:ole="">
            <v:imagedata r:id="rId213" o:title=""/>
          </v:shape>
          <o:OLEObject Type="Embed" ProgID="Equation.3" ShapeID="_x0000_i1137" DrawAspect="Content" ObjectID="_1410345278" r:id="rId222"/>
        </w:object>
      </w:r>
      <w:r>
        <w:t xml:space="preserve">. The relaxations occur partly since the fall in </w:t>
      </w:r>
      <w:r w:rsidRPr="00F7160F">
        <w:rPr>
          <w:position w:val="-12"/>
        </w:rPr>
        <w:object w:dxaOrig="260" w:dyaOrig="360">
          <v:shape id="_x0000_i1138" type="#_x0000_t75" style="width:12.75pt;height:18pt" o:ole="">
            <v:imagedata r:id="rId213" o:title=""/>
          </v:shape>
          <o:OLEObject Type="Embed" ProgID="Equation.3" ShapeID="_x0000_i1138" DrawAspect="Content" ObjectID="_1410345279" r:id="rId223"/>
        </w:object>
      </w:r>
      <w:r>
        <w:t xml:space="preserve"> reduces the initial deviation in debt.</w:t>
      </w:r>
    </w:p>
    <w:p w:rsidR="0079209C" w:rsidRDefault="0079209C" w:rsidP="00205CF3">
      <w:pPr>
        <w:spacing w:line="360" w:lineRule="auto"/>
      </w:pPr>
    </w:p>
    <w:p w:rsidR="0079209C" w:rsidRDefault="0079209C" w:rsidP="00205CF3">
      <w:pPr>
        <w:spacing w:line="360" w:lineRule="auto"/>
      </w:pPr>
      <w:r>
        <w:t xml:space="preserve">We define equilibrium to be semi-stable when the initial deviation is high but adjustment leads towards the steady-state, even though the steady-state may not be reached in the period of our simulations. For highly persistent shocks, equilibria are semi-stable. These equilibria are still determinate according to Woodfords definition since his qualifier of ‘reasonable shock’ is violated. </w:t>
      </w:r>
    </w:p>
    <w:p w:rsidR="0079209C" w:rsidRDefault="0079209C" w:rsidP="00205CF3">
      <w:pPr>
        <w:spacing w:line="360" w:lineRule="auto"/>
      </w:pPr>
    </w:p>
    <w:p w:rsidR="00601BB8" w:rsidRDefault="00601BB8" w:rsidP="00205CF3">
      <w:pPr>
        <w:spacing w:line="360" w:lineRule="auto"/>
        <w:rPr>
          <w:b/>
        </w:rPr>
      </w:pPr>
      <w:r>
        <w:rPr>
          <w:b/>
        </w:rPr>
        <w:t>Table 2 about here</w:t>
      </w:r>
    </w:p>
    <w:p w:rsidR="00601BB8" w:rsidRPr="00601BB8" w:rsidRDefault="00601BB8" w:rsidP="00205CF3">
      <w:pPr>
        <w:spacing w:line="360" w:lineRule="auto"/>
        <w:rPr>
          <w:b/>
        </w:rPr>
      </w:pPr>
    </w:p>
    <w:p w:rsidR="0079209C" w:rsidRDefault="0079209C" w:rsidP="00205CF3">
      <w:pPr>
        <w:spacing w:line="360" w:lineRule="auto"/>
      </w:pPr>
      <w:r>
        <w:t xml:space="preserve">Table 2 summarizes some simulation results for the sensitivity analysis of monetary (natural rate) and fiscal (government expenditure) shocks. The natural rate shock simulations are labeled N. In N1 the only change from benchmark shock is </w:t>
      </w:r>
      <w:r w:rsidRPr="00F7160F">
        <w:rPr>
          <w:position w:val="-12"/>
        </w:rPr>
        <w:object w:dxaOrig="260" w:dyaOrig="360">
          <v:shape id="_x0000_i1139" type="#_x0000_t75" style="width:12.75pt;height:18pt" o:ole="">
            <v:imagedata r:id="rId213" o:title=""/>
          </v:shape>
          <o:OLEObject Type="Embed" ProgID="Equation.3" ShapeID="_x0000_i1139" DrawAspect="Content" ObjectID="_1410345280" r:id="rId224"/>
        </w:object>
      </w:r>
      <w:r>
        <w:t xml:space="preserve">= 0, equilibrium is determinate, the other macroeconomic variables are the same as in the benchmark shock, only the deviation in debt is considerably reduced. Similarly in N2 where </w:t>
      </w:r>
      <w:r w:rsidRPr="00F7160F">
        <w:rPr>
          <w:position w:val="-12"/>
        </w:rPr>
        <w:object w:dxaOrig="260" w:dyaOrig="360">
          <v:shape id="_x0000_i1140" type="#_x0000_t75" style="width:12.75pt;height:18pt" o:ole="">
            <v:imagedata r:id="rId213" o:title=""/>
          </v:shape>
          <o:OLEObject Type="Embed" ProgID="Equation.3" ShapeID="_x0000_i1140" DrawAspect="Content" ObjectID="_1410345281" r:id="rId225"/>
        </w:object>
      </w:r>
      <w:r>
        <w:t xml:space="preserve"> is lower than the benchmark but still positive. In simulation N3 where all the weights in the CB’s loss function are reduced to 0.5 and </w:t>
      </w:r>
      <w:r w:rsidRPr="00F7160F">
        <w:rPr>
          <w:position w:val="-12"/>
        </w:rPr>
        <w:object w:dxaOrig="260" w:dyaOrig="360">
          <v:shape id="_x0000_i1141" type="#_x0000_t75" style="width:12.75pt;height:18pt" o:ole="">
            <v:imagedata r:id="rId213" o:title=""/>
          </v:shape>
          <o:OLEObject Type="Embed" ProgID="Equation.3" ShapeID="_x0000_i1141" DrawAspect="Content" ObjectID="_1410345282" r:id="rId226"/>
        </w:object>
      </w:r>
      <w:r>
        <w:t xml:space="preserve">is put at zero, equilibrium is determinate. The macroeconomic adjustment is of a similar order of magnitude as in N4 where </w:t>
      </w:r>
      <w:r w:rsidRPr="00F7160F">
        <w:rPr>
          <w:position w:val="-12"/>
        </w:rPr>
        <w:object w:dxaOrig="300" w:dyaOrig="360">
          <v:shape id="_x0000_i1142" type="#_x0000_t75" style="width:15pt;height:18pt" o:ole="">
            <v:imagedata r:id="rId218" o:title=""/>
          </v:shape>
          <o:OLEObject Type="Embed" ProgID="Equation.3" ShapeID="_x0000_i1142" DrawAspect="Content" ObjectID="_1410345283" r:id="rId227"/>
        </w:object>
      </w:r>
      <w:r>
        <w:t xml:space="preserve">reduced to 1.1 from 2 but the initial rise in debt is much lower for N3 compared to N4. In N5, when steady-state debt </w:t>
      </w:r>
      <w:r w:rsidRPr="00F7160F">
        <w:rPr>
          <w:position w:val="-6"/>
        </w:rPr>
        <w:object w:dxaOrig="220" w:dyaOrig="320">
          <v:shape id="_x0000_i1143" type="#_x0000_t75" style="width:11.25pt;height:15.75pt" o:ole="">
            <v:imagedata r:id="rId215" o:title=""/>
          </v:shape>
          <o:OLEObject Type="Embed" ProgID="Equation.3" ShapeID="_x0000_i1143" DrawAspect="Content" ObjectID="_1410345284" r:id="rId228"/>
        </w:object>
      </w:r>
      <w:r>
        <w:t>is increased, the deviation of debt rises. In N6, a fall in output growth, steeply raises the deviation of debt.</w:t>
      </w:r>
    </w:p>
    <w:p w:rsidR="0079209C" w:rsidRDefault="0079209C" w:rsidP="00205CF3">
      <w:pPr>
        <w:spacing w:line="360" w:lineRule="auto"/>
      </w:pPr>
    </w:p>
    <w:p w:rsidR="0079209C" w:rsidRDefault="0079209C" w:rsidP="00205CF3">
      <w:pPr>
        <w:spacing w:line="360" w:lineRule="auto"/>
      </w:pPr>
      <w:r>
        <w:t>With a calibrated 0.01 shock to</w:t>
      </w:r>
      <w:r w:rsidRPr="00F7160F">
        <w:rPr>
          <w:position w:val="-12"/>
        </w:rPr>
        <w:object w:dxaOrig="260" w:dyaOrig="360">
          <v:shape id="_x0000_i1144" type="#_x0000_t75" style="width:12.75pt;height:18pt" o:ole="">
            <v:imagedata r:id="rId229" o:title=""/>
          </v:shape>
          <o:OLEObject Type="Embed" ProgID="Equation.3" ShapeID="_x0000_i1144" DrawAspect="Content" ObjectID="_1410345285" r:id="rId230"/>
        </w:object>
      </w:r>
      <w:r>
        <w:t xml:space="preserve">of persistence 0.25 the only effect is a temporary fall in debt (G1). But equilibrium is indeterminate if persistence exceeds 0.9. With persistence of 0.85 equilibrium becomes determinate but semi stable. Equilibrium is indeterminate if </w:t>
      </w:r>
      <w:r w:rsidRPr="00F7160F">
        <w:rPr>
          <w:position w:val="-12"/>
        </w:rPr>
        <w:object w:dxaOrig="300" w:dyaOrig="360">
          <v:shape id="_x0000_i1145" type="#_x0000_t75" style="width:15pt;height:18pt" o:ole="">
            <v:imagedata r:id="rId218" o:title=""/>
          </v:shape>
          <o:OLEObject Type="Embed" ProgID="Equation.3" ShapeID="_x0000_i1145" DrawAspect="Content" ObjectID="_1410345286" r:id="rId231"/>
        </w:object>
      </w:r>
      <w:r>
        <w:t xml:space="preserve">&lt;1, determinate if </w:t>
      </w:r>
      <w:r w:rsidRPr="00F7160F">
        <w:rPr>
          <w:position w:val="-12"/>
        </w:rPr>
        <w:object w:dxaOrig="300" w:dyaOrig="360">
          <v:shape id="_x0000_i1146" type="#_x0000_t75" style="width:15pt;height:18pt" o:ole="">
            <v:imagedata r:id="rId218" o:title=""/>
          </v:shape>
          <o:OLEObject Type="Embed" ProgID="Equation.3" ShapeID="_x0000_i1146" DrawAspect="Content" ObjectID="_1410345287" r:id="rId232"/>
        </w:object>
      </w:r>
      <w:r>
        <w:t xml:space="preserve">=1.1 and above. But volatility in macroeconomic variables including debt is so high as to verge on the unstable, for </w:t>
      </w:r>
      <w:r w:rsidRPr="00F7160F">
        <w:rPr>
          <w:position w:val="-12"/>
        </w:rPr>
        <w:object w:dxaOrig="260" w:dyaOrig="360">
          <v:shape id="_x0000_i1147" type="#_x0000_t75" style="width:12.75pt;height:18pt" o:ole="">
            <v:imagedata r:id="rId229" o:title=""/>
          </v:shape>
          <o:OLEObject Type="Embed" ProgID="Equation.3" ShapeID="_x0000_i1147" DrawAspect="Content" ObjectID="_1410345288" r:id="rId233"/>
        </w:object>
      </w:r>
      <w:r>
        <w:t xml:space="preserve">of persistence 0.85 (G2 and G3). This is so even for the benchmark </w:t>
      </w:r>
      <w:r w:rsidRPr="00F7160F">
        <w:rPr>
          <w:position w:val="-12"/>
        </w:rPr>
        <w:object w:dxaOrig="260" w:dyaOrig="360">
          <v:shape id="_x0000_i1148" type="#_x0000_t75" style="width:12.75pt;height:18pt" o:ole="">
            <v:imagedata r:id="rId229" o:title=""/>
          </v:shape>
          <o:OLEObject Type="Embed" ProgID="Equation.3" ShapeID="_x0000_i1148" DrawAspect="Content" ObjectID="_1410345289" r:id="rId234"/>
        </w:object>
      </w:r>
      <w:r>
        <w:t xml:space="preserve">shock </w:t>
      </w:r>
      <w:r w:rsidRPr="00F7160F">
        <w:rPr>
          <w:position w:val="-12"/>
        </w:rPr>
        <w:object w:dxaOrig="300" w:dyaOrig="360">
          <v:shape id="_x0000_i1149" type="#_x0000_t75" style="width:15pt;height:18pt" o:ole="">
            <v:imagedata r:id="rId218" o:title=""/>
          </v:shape>
          <o:OLEObject Type="Embed" ProgID="Equation.3" ShapeID="_x0000_i1149" DrawAspect="Content" ObjectID="_1410345290" r:id="rId235"/>
        </w:object>
      </w:r>
      <w:r>
        <w:t xml:space="preserve">=2 (G3). But the volatility of macroeconomic variables is reduced if </w:t>
      </w:r>
      <w:r w:rsidRPr="00F7160F">
        <w:rPr>
          <w:position w:val="-12"/>
        </w:rPr>
        <w:object w:dxaOrig="260" w:dyaOrig="360">
          <v:shape id="_x0000_i1150" type="#_x0000_t75" style="width:12.75pt;height:18pt" o:ole="">
            <v:imagedata r:id="rId213" o:title=""/>
          </v:shape>
          <o:OLEObject Type="Embed" ProgID="Equation.3" ShapeID="_x0000_i1150" DrawAspect="Content" ObjectID="_1410345291" r:id="rId236"/>
        </w:object>
      </w:r>
      <w:r>
        <w:t xml:space="preserve">= 0 since the initial rise in debt is considerably reduced. Even so, </w:t>
      </w:r>
      <w:r w:rsidRPr="00F7160F">
        <w:rPr>
          <w:position w:val="-12"/>
        </w:rPr>
        <w:object w:dxaOrig="240" w:dyaOrig="400">
          <v:shape id="_x0000_i1151" type="#_x0000_t75" style="width:12pt;height:20.25pt" o:ole="">
            <v:imagedata r:id="rId208" o:title=""/>
          </v:shape>
          <o:OLEObject Type="Embed" ProgID="Equation.3" ShapeID="_x0000_i1151" DrawAspect="Content" ObjectID="_1410345292" r:id="rId237"/>
        </w:object>
      </w:r>
      <w:r>
        <w:t xml:space="preserve"> remains far from steady-state values at the end of 12 periods.  </w:t>
      </w:r>
      <w:r w:rsidR="00601BB8">
        <w:t>E</w:t>
      </w:r>
      <w:r>
        <w:t xml:space="preserve">quilibria are semi stable for both the highly persistent N and G shocks since debt does tend towards the steady-state even if slowly. </w:t>
      </w:r>
    </w:p>
    <w:p w:rsidR="0079209C" w:rsidRDefault="0079209C" w:rsidP="00205CF3">
      <w:pPr>
        <w:spacing w:line="360" w:lineRule="auto"/>
      </w:pPr>
    </w:p>
    <w:p w:rsidR="00601BB8" w:rsidRDefault="00601BB8" w:rsidP="00205CF3">
      <w:pPr>
        <w:spacing w:line="360" w:lineRule="auto"/>
        <w:rPr>
          <w:b/>
        </w:rPr>
      </w:pPr>
      <w:r>
        <w:rPr>
          <w:b/>
        </w:rPr>
        <w:t>Figures 1 and 2 about here</w:t>
      </w:r>
    </w:p>
    <w:p w:rsidR="00601BB8" w:rsidRPr="00601BB8" w:rsidRDefault="00601BB8" w:rsidP="00205CF3">
      <w:pPr>
        <w:spacing w:line="360" w:lineRule="auto"/>
        <w:rPr>
          <w:b/>
        </w:rPr>
      </w:pPr>
    </w:p>
    <w:p w:rsidR="0079209C" w:rsidRDefault="0079209C" w:rsidP="00205CF3">
      <w:pPr>
        <w:spacing w:line="360" w:lineRule="auto"/>
      </w:pPr>
      <w:r>
        <w:t xml:space="preserve">Figures 1 and 2 show the regions of indeterminacy and stability in </w:t>
      </w:r>
      <w:r w:rsidRPr="00F7160F">
        <w:rPr>
          <w:position w:val="-12"/>
        </w:rPr>
        <w:object w:dxaOrig="300" w:dyaOrig="360">
          <v:shape id="_x0000_i1152" type="#_x0000_t75" style="width:15pt;height:18pt" o:ole="">
            <v:imagedata r:id="rId218" o:title=""/>
          </v:shape>
          <o:OLEObject Type="Embed" ProgID="Equation.3" ShapeID="_x0000_i1152" DrawAspect="Content" ObjectID="_1410345293" r:id="rId238"/>
        </w:object>
      </w:r>
      <w:r>
        <w:t>and q</w:t>
      </w:r>
      <w:r>
        <w:rPr>
          <w:vertAlign w:val="subscript"/>
        </w:rPr>
        <w:t>x</w:t>
      </w:r>
      <w:r>
        <w:t xml:space="preserve"> space. Equilibria are unstable for low values of q</w:t>
      </w:r>
      <w:r>
        <w:rPr>
          <w:vertAlign w:val="subscript"/>
        </w:rPr>
        <w:sym w:font="Symbol" w:char="F070"/>
      </w:r>
      <w:r>
        <w:t xml:space="preserve"> under a natural rate shock. For a cost shock the weight required on q</w:t>
      </w:r>
      <w:r>
        <w:rPr>
          <w:vertAlign w:val="subscript"/>
        </w:rPr>
        <w:sym w:font="Symbol" w:char="F070"/>
      </w:r>
      <w:r>
        <w:t xml:space="preserve"> for stability rises as q</w:t>
      </w:r>
      <w:r>
        <w:rPr>
          <w:vertAlign w:val="subscript"/>
        </w:rPr>
        <w:t>x</w:t>
      </w:r>
      <w:r>
        <w:t xml:space="preserve"> rises. If the weight on q</w:t>
      </w:r>
      <w:r>
        <w:rPr>
          <w:vertAlign w:val="subscript"/>
        </w:rPr>
        <w:sym w:font="Symbol" w:char="F070"/>
      </w:r>
      <w:r>
        <w:t xml:space="preserve"> is as low as 1.1 or 1.2 equilibrium becomes indeterminate for 0 value of q</w:t>
      </w:r>
      <w:r>
        <w:rPr>
          <w:vertAlign w:val="subscript"/>
        </w:rPr>
        <w:t>x</w:t>
      </w:r>
      <w:r>
        <w:t>.</w:t>
      </w:r>
    </w:p>
    <w:p w:rsidR="0079209C" w:rsidRDefault="0079209C" w:rsidP="00205CF3">
      <w:pPr>
        <w:spacing w:line="360" w:lineRule="auto"/>
      </w:pPr>
    </w:p>
    <w:p w:rsidR="0079209C" w:rsidRDefault="0079209C" w:rsidP="00205CF3">
      <w:pPr>
        <w:spacing w:line="360" w:lineRule="auto"/>
      </w:pPr>
      <w:r>
        <w:t>We have kept q</w:t>
      </w:r>
      <w:r>
        <w:rPr>
          <w:vertAlign w:val="subscript"/>
        </w:rPr>
        <w:t>i</w:t>
      </w:r>
      <w:r>
        <w:t>=1 to capture CB’s preference for small interest rate changes. But since a large q</w:t>
      </w:r>
      <w:r>
        <w:rPr>
          <w:vertAlign w:val="subscript"/>
        </w:rPr>
        <w:t>i</w:t>
      </w:r>
      <w:r>
        <w:t xml:space="preserve"> reduces the interest rate response, it can make equilibrium indeterminate.</w:t>
      </w:r>
    </w:p>
    <w:p w:rsidR="0079209C" w:rsidRDefault="0079209C" w:rsidP="00205CF3">
      <w:pPr>
        <w:spacing w:line="360" w:lineRule="auto"/>
      </w:pPr>
    </w:p>
    <w:p w:rsidR="0079209C" w:rsidRDefault="0079209C" w:rsidP="00205CF3">
      <w:pPr>
        <w:spacing w:line="360" w:lineRule="auto"/>
      </w:pPr>
      <w:r>
        <w:t>For a cost shock, whenever q</w:t>
      </w:r>
      <w:r>
        <w:rPr>
          <w:vertAlign w:val="subscript"/>
        </w:rPr>
        <w:t>i</w:t>
      </w:r>
      <w:r>
        <w:t xml:space="preserve">  ≥ q</w:t>
      </w:r>
      <w:r>
        <w:rPr>
          <w:vertAlign w:val="subscript"/>
        </w:rPr>
        <w:sym w:font="Symbol" w:char="F070"/>
      </w:r>
      <w:r>
        <w:t xml:space="preserve"> &gt;1 equilibrium is indeterminate. When q</w:t>
      </w:r>
      <w:r>
        <w:rPr>
          <w:vertAlign w:val="subscript"/>
        </w:rPr>
        <w:sym w:font="Symbol" w:char="F070"/>
      </w:r>
      <w:r>
        <w:t xml:space="preserve"> is less than 1, solution exists only when q</w:t>
      </w:r>
      <w:r>
        <w:rPr>
          <w:vertAlign w:val="subscript"/>
        </w:rPr>
        <w:t>i</w:t>
      </w:r>
      <w:r>
        <w:t xml:space="preserve"> ≤ q</w:t>
      </w:r>
      <w:r>
        <w:rPr>
          <w:vertAlign w:val="subscript"/>
        </w:rPr>
        <w:sym w:font="Symbol" w:char="F070"/>
      </w:r>
      <w:r>
        <w:t xml:space="preserve"> &lt; 1.</w:t>
      </w:r>
    </w:p>
    <w:p w:rsidR="0079209C" w:rsidRDefault="0079209C" w:rsidP="00205CF3">
      <w:pPr>
        <w:spacing w:line="360" w:lineRule="auto"/>
      </w:pPr>
    </w:p>
    <w:p w:rsidR="0079209C" w:rsidRDefault="0079209C" w:rsidP="00205CF3">
      <w:pPr>
        <w:spacing w:line="360" w:lineRule="auto"/>
      </w:pPr>
      <w:r>
        <w:t>For a natural rate shock indeterminacy exist whenever q</w:t>
      </w:r>
      <w:r>
        <w:rPr>
          <w:vertAlign w:val="subscript"/>
        </w:rPr>
        <w:t>i</w:t>
      </w:r>
      <w:r>
        <w:t xml:space="preserve"> ≥ q</w:t>
      </w:r>
      <w:r>
        <w:rPr>
          <w:vertAlign w:val="subscript"/>
        </w:rPr>
        <w:sym w:font="Symbol" w:char="F070"/>
      </w:r>
      <w:r>
        <w:t xml:space="preserve"> &gt; 1. Semi unstable equilibrium requires q</w:t>
      </w:r>
      <w:r>
        <w:rPr>
          <w:vertAlign w:val="subscript"/>
        </w:rPr>
        <w:t>i</w:t>
      </w:r>
      <w:r>
        <w:t xml:space="preserve"> &lt; q</w:t>
      </w:r>
      <w:r>
        <w:rPr>
          <w:vertAlign w:val="subscript"/>
        </w:rPr>
        <w:sym w:font="Symbol" w:char="F070"/>
      </w:r>
      <w:r>
        <w:rPr>
          <w:vertAlign w:val="subscript"/>
        </w:rPr>
        <w:t xml:space="preserve">. </w:t>
      </w:r>
      <w:r>
        <w:t>When q</w:t>
      </w:r>
      <w:r>
        <w:rPr>
          <w:vertAlign w:val="subscript"/>
        </w:rPr>
        <w:sym w:font="Symbol" w:char="F070"/>
      </w:r>
      <w:r>
        <w:t xml:space="preserve"> &lt; 1, equilibrium exists iff q</w:t>
      </w:r>
      <w:r>
        <w:rPr>
          <w:vertAlign w:val="subscript"/>
        </w:rPr>
        <w:t>i</w:t>
      </w:r>
      <w:r>
        <w:t xml:space="preserve"> ≤ q</w:t>
      </w:r>
      <w:r>
        <w:rPr>
          <w:vertAlign w:val="subscript"/>
        </w:rPr>
        <w:sym w:font="Symbol" w:char="F070"/>
      </w:r>
      <w:r>
        <w:t xml:space="preserve"> &lt; 1</w:t>
      </w:r>
    </w:p>
    <w:p w:rsidR="0079209C" w:rsidRDefault="0079209C" w:rsidP="00205CF3">
      <w:pPr>
        <w:spacing w:line="360" w:lineRule="auto"/>
      </w:pPr>
    </w:p>
    <w:p w:rsidR="0079209C" w:rsidRDefault="0079209C" w:rsidP="00205CF3">
      <w:pPr>
        <w:spacing w:line="360" w:lineRule="auto"/>
      </w:pPr>
      <w:r>
        <w:t xml:space="preserve">As in simulations with the SOEME AD AS </w:t>
      </w:r>
      <w:r w:rsidR="00C25F3E">
        <w:t xml:space="preserve">model </w:t>
      </w:r>
      <w:r>
        <w:t xml:space="preserve">(Goyal 2011), a rise in the share of the rich and in openness reduces initial interest and therefore debt response, for both </w:t>
      </w:r>
      <w:r>
        <w:lastRenderedPageBreak/>
        <w:t xml:space="preserve">types of shocks, implying greater debt volatility is to be expected in a poorer less globally integrated country. </w:t>
      </w:r>
    </w:p>
    <w:p w:rsidR="0079209C" w:rsidRDefault="0079209C" w:rsidP="00205CF3">
      <w:pPr>
        <w:spacing w:line="360" w:lineRule="auto"/>
      </w:pPr>
    </w:p>
    <w:p w:rsidR="0079209C" w:rsidRDefault="0079209C" w:rsidP="00205CF3">
      <w:pPr>
        <w:spacing w:line="360" w:lineRule="auto"/>
      </w:pPr>
      <w:r>
        <w:t>As for the SOEME, lags and rigidities allow relaxations in the stability conditions. The concept of semi-stability captures the slow yet persistent adjustments to equilibrium.</w:t>
      </w:r>
    </w:p>
    <w:p w:rsidR="0079209C" w:rsidRDefault="0079209C" w:rsidP="00205CF3">
      <w:pPr>
        <w:spacing w:line="360" w:lineRule="auto"/>
      </w:pPr>
    </w:p>
    <w:p w:rsidR="0079209C" w:rsidRDefault="0079209C" w:rsidP="00205CF3">
      <w:pPr>
        <w:spacing w:line="360" w:lineRule="auto"/>
      </w:pPr>
      <w:r>
        <w:t xml:space="preserve">We have obtained analytical results on the policy response coefficients </w:t>
      </w:r>
      <w:r w:rsidR="00C25F3E">
        <w:t>consistent with</w:t>
      </w:r>
      <w:r>
        <w:t xml:space="preserve"> stability in emerging models. We next compare the estimated Indian monetary policy rule to these results.</w:t>
      </w:r>
    </w:p>
    <w:p w:rsidR="0079209C" w:rsidRDefault="0079209C" w:rsidP="00205CF3">
      <w:pPr>
        <w:spacing w:line="360" w:lineRule="auto"/>
      </w:pPr>
    </w:p>
    <w:p w:rsidR="0079209C" w:rsidRDefault="0079209C" w:rsidP="00205CF3">
      <w:pPr>
        <w:spacing w:line="360" w:lineRule="auto"/>
        <w:rPr>
          <w:b/>
          <w:bCs/>
        </w:rPr>
      </w:pPr>
      <w:r>
        <w:rPr>
          <w:b/>
          <w:bCs/>
        </w:rPr>
        <w:t>5. Estimated monetary policy rule</w:t>
      </w:r>
    </w:p>
    <w:p w:rsidR="0079209C" w:rsidRDefault="0079209C" w:rsidP="00205CF3">
      <w:pPr>
        <w:tabs>
          <w:tab w:val="left" w:pos="720"/>
        </w:tabs>
        <w:spacing w:line="360" w:lineRule="auto"/>
      </w:pPr>
      <w:r>
        <w:t>We worked with a monetary-policy rule in deriving the stability results. Woodford’s (2001) result was that interest rate rules lead to indeterminacy of the rational expectations price level only if the path of the short-term policy rate is exogenous. In particular, in his simple optimizing model, determinacy required a feedback from inflation greater than one. This is known as the Taylor Principle—for each one-percent increase in inflation, the central bank should raise the nominal interest rate by more than one percentage point (Taylor 1993</w:t>
      </w:r>
      <w:r w:rsidR="008C67B5">
        <w:t>, pp. 202</w:t>
      </w:r>
      <w:r>
        <w:t xml:space="preserve">). Our results suggest that in more complex models with different types of lags and rigidities the feedback coefficients required for determinacy can be very different. </w:t>
      </w:r>
    </w:p>
    <w:p w:rsidR="0079209C" w:rsidRDefault="0079209C" w:rsidP="00205CF3">
      <w:pPr>
        <w:tabs>
          <w:tab w:val="left" w:pos="720"/>
        </w:tabs>
        <w:spacing w:line="360" w:lineRule="auto"/>
      </w:pPr>
    </w:p>
    <w:p w:rsidR="0079209C" w:rsidRDefault="0079209C" w:rsidP="00205CF3">
      <w:pPr>
        <w:tabs>
          <w:tab w:val="left" w:pos="720"/>
        </w:tabs>
        <w:spacing w:line="360" w:lineRule="auto"/>
      </w:pPr>
      <w:r>
        <w:t>There is also a large empirical literature estimating the Taylor rule. The original equation was:</w:t>
      </w:r>
    </w:p>
    <w:p w:rsidR="0079209C" w:rsidRDefault="0079209C">
      <w:pPr>
        <w:tabs>
          <w:tab w:val="left" w:pos="720"/>
        </w:tabs>
        <w:spacing w:line="360" w:lineRule="auto"/>
      </w:pPr>
      <w:r>
        <w:tab/>
      </w:r>
      <w:r>
        <w:tab/>
      </w:r>
      <w:r>
        <w:tab/>
      </w:r>
      <w:r w:rsidRPr="00F7160F">
        <w:rPr>
          <w:position w:val="-12"/>
        </w:rPr>
        <w:object w:dxaOrig="3780" w:dyaOrig="400">
          <v:shape id="_x0000_i1153" type="#_x0000_t75" style="width:189pt;height:20.25pt" o:ole="">
            <v:imagedata r:id="rId239" o:title=""/>
          </v:shape>
          <o:OLEObject Type="Embed" ProgID="Equation.3" ShapeID="_x0000_i1153" DrawAspect="Content" ObjectID="_1410345294" r:id="rId240"/>
        </w:object>
      </w:r>
      <w:r>
        <w:tab/>
      </w:r>
      <w:r w:rsidR="00205CF3">
        <w:tab/>
        <w:t xml:space="preserve">       </w:t>
      </w:r>
      <w:r>
        <w:t xml:space="preserve">    (31)</w:t>
      </w:r>
    </w:p>
    <w:p w:rsidR="0079209C" w:rsidRDefault="0079209C">
      <w:pPr>
        <w:tabs>
          <w:tab w:val="left" w:pos="720"/>
        </w:tabs>
        <w:spacing w:line="360" w:lineRule="auto"/>
      </w:pPr>
    </w:p>
    <w:p w:rsidR="0079209C" w:rsidRDefault="0079209C" w:rsidP="00764544">
      <w:pPr>
        <w:spacing w:line="360" w:lineRule="auto"/>
      </w:pPr>
      <w:r>
        <w:t xml:space="preserve">Where, </w:t>
      </w:r>
      <w:r w:rsidRPr="00F7160F">
        <w:rPr>
          <w:position w:val="-12"/>
        </w:rPr>
        <w:object w:dxaOrig="320" w:dyaOrig="380">
          <v:shape id="_x0000_i1154" type="#_x0000_t75" style="width:15.75pt;height:18.75pt" o:ole="">
            <v:imagedata r:id="rId241" o:title=""/>
          </v:shape>
          <o:OLEObject Type="Embed" ProgID="Equation.3" ShapeID="_x0000_i1154" DrawAspect="Content" ObjectID="_1410345295" r:id="rId242"/>
        </w:object>
      </w:r>
      <w:r>
        <w:t xml:space="preserve"> is the desired rate of inflation, </w:t>
      </w:r>
      <w:r w:rsidRPr="00F7160F">
        <w:rPr>
          <w:position w:val="-12"/>
        </w:rPr>
        <w:object w:dxaOrig="260" w:dyaOrig="380">
          <v:shape id="_x0000_i1155" type="#_x0000_t75" style="width:12.75pt;height:18.75pt" o:ole="">
            <v:imagedata r:id="rId243" o:title=""/>
          </v:shape>
          <o:OLEObject Type="Embed" ProgID="Equation.3" ShapeID="_x0000_i1155" DrawAspect="Content" ObjectID="_1410345296" r:id="rId244"/>
        </w:object>
      </w:r>
      <w:r>
        <w:t>is the assumed equilibrium real interest rate, y</w:t>
      </w:r>
      <w:r>
        <w:rPr>
          <w:vertAlign w:val="subscript"/>
        </w:rPr>
        <w:t>t</w:t>
      </w:r>
      <w:r>
        <w:t xml:space="preserve">, is the logarithm of real GDP, and </w:t>
      </w:r>
      <w:r w:rsidRPr="00F7160F">
        <w:rPr>
          <w:position w:val="-12"/>
        </w:rPr>
        <w:object w:dxaOrig="260" w:dyaOrig="360">
          <v:shape id="_x0000_i1156" type="#_x0000_t75" style="width:12.75pt;height:18pt" o:ole="">
            <v:imagedata r:id="rId245" o:title=""/>
          </v:shape>
          <o:OLEObject Type="Embed" ProgID="Equation.3" ShapeID="_x0000_i1156" DrawAspect="Content" ObjectID="_1410345297" r:id="rId246"/>
        </w:object>
      </w:r>
      <w:r>
        <w:t xml:space="preserve"> is the logarithm of potential output, as determined by a linear trend. Taylor proposed setting </w:t>
      </w:r>
      <w:r w:rsidR="00764544" w:rsidRPr="00461436">
        <w:rPr>
          <w:position w:val="-12"/>
        </w:rPr>
        <w:object w:dxaOrig="279" w:dyaOrig="360">
          <v:shape id="_x0000_i1157" type="#_x0000_t75" style="width:14.25pt;height:18pt" o:ole="">
            <v:imagedata r:id="rId113" o:title=""/>
          </v:shape>
          <o:OLEObject Type="Embed" ProgID="Equation.3" ShapeID="_x0000_i1157" DrawAspect="Content" ObjectID="_1410345298" r:id="rId247"/>
        </w:object>
      </w:r>
      <w:r>
        <w:t xml:space="preserve"> = </w:t>
      </w:r>
      <w:r w:rsidR="00764544" w:rsidRPr="00F7160F">
        <w:rPr>
          <w:position w:val="-12"/>
        </w:rPr>
        <w:object w:dxaOrig="260" w:dyaOrig="360">
          <v:shape id="_x0000_i1158" type="#_x0000_t75" style="width:12.75pt;height:18pt" o:ole="">
            <v:imagedata r:id="rId105" o:title=""/>
          </v:shape>
          <o:OLEObject Type="Embed" ProgID="Equation.3" ShapeID="_x0000_i1158" DrawAspect="Content" ObjectID="_1410345299" r:id="rId248"/>
        </w:object>
      </w:r>
      <w:r>
        <w:t xml:space="preserve"> = 0.5. As long as </w:t>
      </w:r>
      <w:r w:rsidR="00764544" w:rsidRPr="00461436">
        <w:rPr>
          <w:position w:val="-12"/>
        </w:rPr>
        <w:object w:dxaOrig="279" w:dyaOrig="360">
          <v:shape id="_x0000_i1159" type="#_x0000_t75" style="width:14.25pt;height:18pt" o:ole="">
            <v:imagedata r:id="rId113" o:title=""/>
          </v:shape>
          <o:OLEObject Type="Embed" ProgID="Equation.3" ShapeID="_x0000_i1159" DrawAspect="Content" ObjectID="_1410345300" r:id="rId249"/>
        </w:object>
      </w:r>
      <w:r>
        <w:t xml:space="preserve"> &gt; 0, an increase in inflation of one percentage point would lead the CB to raise the nominal interest rate by 1 + </w:t>
      </w:r>
      <w:r w:rsidR="00764544" w:rsidRPr="00461436">
        <w:rPr>
          <w:position w:val="-12"/>
        </w:rPr>
        <w:object w:dxaOrig="279" w:dyaOrig="360">
          <v:shape id="_x0000_i1160" type="#_x0000_t75" style="width:14.25pt;height:18pt" o:ole="">
            <v:imagedata r:id="rId113" o:title=""/>
          </v:shape>
          <o:OLEObject Type="Embed" ProgID="Equation.3" ShapeID="_x0000_i1160" DrawAspect="Content" ObjectID="_1410345301" r:id="rId250"/>
        </w:object>
      </w:r>
      <w:r>
        <w:t xml:space="preserve">, thus raising the real interest rate. The simple NKE models can imply a very low </w:t>
      </w:r>
      <w:r w:rsidR="00764544" w:rsidRPr="00F7160F">
        <w:rPr>
          <w:position w:val="-12"/>
        </w:rPr>
        <w:object w:dxaOrig="260" w:dyaOrig="360">
          <v:shape id="_x0000_i1161" type="#_x0000_t75" style="width:12.75pt;height:18pt" o:ole="">
            <v:imagedata r:id="rId105" o:title=""/>
          </v:shape>
          <o:OLEObject Type="Embed" ProgID="Equation.3" ShapeID="_x0000_i1161" DrawAspect="Content" ObjectID="_1410345302" r:id="rId251"/>
        </w:object>
      </w:r>
      <w:r>
        <w:t xml:space="preserve">, since in forward-looking models with demand </w:t>
      </w:r>
      <w:r>
        <w:lastRenderedPageBreak/>
        <w:t>shocks the feedback to inflation is sufficient to stabilize output</w:t>
      </w:r>
      <w:r>
        <w:rPr>
          <w:rStyle w:val="FootnoteReference"/>
        </w:rPr>
        <w:footnoteReference w:id="12"/>
      </w:r>
      <w:r>
        <w:t xml:space="preserve">. In our </w:t>
      </w:r>
      <w:r w:rsidR="001A4A4D">
        <w:t>benchmark</w:t>
      </w:r>
      <w:r>
        <w:t xml:space="preserve"> model the only feedback condition required for stability is that </w:t>
      </w:r>
      <w:r w:rsidR="00764544">
        <w:t>if one coefficient is low the other should be high</w:t>
      </w:r>
      <w:r>
        <w:t>.</w:t>
      </w:r>
    </w:p>
    <w:p w:rsidR="0079209C" w:rsidRDefault="0079209C">
      <w:pPr>
        <w:tabs>
          <w:tab w:val="left" w:pos="720"/>
        </w:tabs>
        <w:spacing w:line="360" w:lineRule="auto"/>
      </w:pPr>
    </w:p>
    <w:p w:rsidR="0079209C" w:rsidRDefault="0079209C" w:rsidP="00205CF3">
      <w:pPr>
        <w:spacing w:line="360" w:lineRule="auto"/>
      </w:pPr>
      <w:r>
        <w:t xml:space="preserve">As the empirical Taylor rule literature developed, the estimated equation was simplified. Either the short policy rate was regressed on the deviation of output from potential and of inflation from target, or a constant term was assumed to include a constant inflation target and real interest rate. So the short policy rate was regressed on inflation and on the deviation of output from potential including a constant capturing the inflation target. A lagged interest rate was included to capture policy smoothing. We estimate the latter Taylor rule specification for India to compare its coefficients with the optimizing results, and assess Indian monetary policy. </w:t>
      </w:r>
    </w:p>
    <w:p w:rsidR="0079209C" w:rsidRDefault="0079209C" w:rsidP="00205CF3">
      <w:pPr>
        <w:spacing w:line="360" w:lineRule="auto"/>
      </w:pPr>
    </w:p>
    <w:p w:rsidR="0079209C" w:rsidRDefault="0079209C" w:rsidP="00205CF3">
      <w:pPr>
        <w:spacing w:line="360" w:lineRule="auto"/>
      </w:pPr>
      <w:r>
        <w:t xml:space="preserve">For the short-term policy rate, we use data at quarterly frequency from 2000Q2 to 2011Q2. Variables include call or money market rate, GDP and wholesale price index in two forms core inflation and headline inflation. </w:t>
      </w:r>
      <w:r w:rsidR="00B73674">
        <w:t>A</w:t>
      </w:r>
      <w:r>
        <w:t>ll the variables</w:t>
      </w:r>
      <w:r w:rsidR="00B73674">
        <w:t xml:space="preserve"> are tested</w:t>
      </w:r>
      <w:r w:rsidR="00CE042A">
        <w:t xml:space="preserve"> for seasonality.</w:t>
      </w:r>
      <w:r>
        <w:t xml:space="preserve"> </w:t>
      </w:r>
      <w:r w:rsidR="00CE042A">
        <w:t>A</w:t>
      </w:r>
      <w:r>
        <w:t>nalysis of linear plot</w:t>
      </w:r>
      <w:r w:rsidR="00B73674">
        <w:t>s</w:t>
      </w:r>
      <w:r>
        <w:t xml:space="preserve"> suggests that quarterly GDP and WPI series ha</w:t>
      </w:r>
      <w:r w:rsidR="00B73674">
        <w:t>ve</w:t>
      </w:r>
      <w:r>
        <w:t xml:space="preserve"> multiplicative seasonality. Hence we de-seasonalize the series using the X-12 ARIMA procedure. Output gap was derived using the HP filter for measuring trend output i.e. the actual output gap is calculated as the percent deviation of real GDP from a target, as it was originally proposed by Taylor:    </w:t>
      </w:r>
    </w:p>
    <w:p w:rsidR="0079209C" w:rsidRDefault="0079209C" w:rsidP="00205CF3">
      <w:pPr>
        <w:autoSpaceDE w:val="0"/>
        <w:autoSpaceDN w:val="0"/>
        <w:adjustRightInd w:val="0"/>
        <w:spacing w:line="360" w:lineRule="auto"/>
      </w:pPr>
    </w:p>
    <w:p w:rsidR="0079209C" w:rsidRDefault="0079209C">
      <w:pPr>
        <w:autoSpaceDE w:val="0"/>
        <w:autoSpaceDN w:val="0"/>
        <w:adjustRightInd w:val="0"/>
        <w:spacing w:line="360" w:lineRule="auto"/>
        <w:ind w:left="2160" w:firstLine="720"/>
        <w:jc w:val="both"/>
      </w:pPr>
      <w:r>
        <w:t>y = ((Y-Y*)/Y*)*100</w:t>
      </w:r>
    </w:p>
    <w:p w:rsidR="0079209C" w:rsidRDefault="0079209C">
      <w:pPr>
        <w:autoSpaceDE w:val="0"/>
        <w:autoSpaceDN w:val="0"/>
        <w:adjustRightInd w:val="0"/>
        <w:spacing w:line="360" w:lineRule="auto"/>
        <w:jc w:val="both"/>
      </w:pPr>
    </w:p>
    <w:p w:rsidR="0079209C" w:rsidRDefault="0079209C" w:rsidP="00205CF3">
      <w:pPr>
        <w:pStyle w:val="ListParagraph"/>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 xml:space="preserve">where Y is real GDP (or more often industrial production index), and Y*is trend real GDP given by HP filter. Year-on-year inflation is measured using annual percentage change in Wholesale Price Index (WPI) and defined as headline inflation and core inflation is defined as nonfood, manufacturing goods inflation, whose share is around </w:t>
      </w:r>
      <w:r>
        <w:rPr>
          <w:rFonts w:ascii="Times New Roman" w:hAnsi="Times New Roman"/>
          <w:sz w:val="24"/>
          <w:szCs w:val="24"/>
        </w:rPr>
        <w:lastRenderedPageBreak/>
        <w:t xml:space="preserve">52.2 percent in WPI. </w:t>
      </w:r>
      <w:r w:rsidR="00B73674">
        <w:rPr>
          <w:rFonts w:ascii="Times New Roman" w:hAnsi="Times New Roman"/>
          <w:sz w:val="24"/>
          <w:szCs w:val="24"/>
        </w:rPr>
        <w:t>A</w:t>
      </w:r>
      <w:r>
        <w:rPr>
          <w:rFonts w:ascii="Times New Roman" w:hAnsi="Times New Roman"/>
          <w:sz w:val="24"/>
          <w:szCs w:val="24"/>
        </w:rPr>
        <w:t xml:space="preserve">ll the variables (growth rate and inflation terms) are in percentages, </w:t>
      </w:r>
      <w:r w:rsidR="00CE042A">
        <w:rPr>
          <w:rFonts w:ascii="Times New Roman" w:hAnsi="Times New Roman"/>
          <w:sz w:val="24"/>
          <w:szCs w:val="24"/>
        </w:rPr>
        <w:t>following the practic</w:t>
      </w:r>
      <w:r w:rsidR="00B73674">
        <w:rPr>
          <w:rFonts w:ascii="Times New Roman" w:hAnsi="Times New Roman"/>
          <w:sz w:val="24"/>
          <w:szCs w:val="24"/>
        </w:rPr>
        <w:t>e</w:t>
      </w:r>
      <w:r>
        <w:rPr>
          <w:rFonts w:ascii="Times New Roman" w:hAnsi="Times New Roman"/>
          <w:sz w:val="24"/>
          <w:szCs w:val="24"/>
        </w:rPr>
        <w:t xml:space="preserve"> in the literature</w:t>
      </w:r>
      <w:r w:rsidR="001C5ABA">
        <w:rPr>
          <w:rFonts w:ascii="Times New Roman" w:hAnsi="Times New Roman"/>
          <w:sz w:val="24"/>
          <w:szCs w:val="24"/>
        </w:rPr>
        <w:t xml:space="preserve"> (</w:t>
      </w:r>
      <w:r w:rsidR="001C5ABA">
        <w:rPr>
          <w:rFonts w:ascii="Times New Roman" w:hAnsi="Times New Roman"/>
          <w:noProof/>
          <w:sz w:val="24"/>
          <w:szCs w:val="24"/>
        </w:rPr>
        <w:t>Maslowska, 2009)</w:t>
      </w:r>
      <w:r>
        <w:rPr>
          <w:rFonts w:ascii="Times New Roman" w:hAnsi="Times New Roman"/>
          <w:sz w:val="24"/>
          <w:szCs w:val="24"/>
        </w:rPr>
        <w:t>.</w:t>
      </w:r>
    </w:p>
    <w:p w:rsidR="0079209C" w:rsidRDefault="0079209C" w:rsidP="00205CF3">
      <w:pPr>
        <w:pStyle w:val="ListParagraph"/>
        <w:autoSpaceDE w:val="0"/>
        <w:autoSpaceDN w:val="0"/>
        <w:adjustRightInd w:val="0"/>
        <w:spacing w:after="0" w:line="360" w:lineRule="auto"/>
        <w:ind w:left="0"/>
        <w:rPr>
          <w:rFonts w:ascii="Times New Roman" w:hAnsi="Times New Roman"/>
          <w:sz w:val="24"/>
          <w:szCs w:val="24"/>
        </w:rPr>
      </w:pPr>
    </w:p>
    <w:p w:rsidR="0079209C" w:rsidRDefault="0079209C" w:rsidP="00205CF3">
      <w:pPr>
        <w:pStyle w:val="ListParagraph"/>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Unit root tests, i.e. Augmented Dickey-Fuller test results suggest that all the variables are stationary. Durbin Watson test suggest presence of serial correlation and Breusch-Pagan test shows the presence of heteroskedasticity in the error terms. Hence, we estimate our model using ordinary least squares regression with Newey-West variance-covariance matrix, in order to correct for both autocorrelation and heteroskedasticity.</w:t>
      </w:r>
    </w:p>
    <w:p w:rsidR="0079209C" w:rsidRDefault="0079209C" w:rsidP="00205CF3">
      <w:pPr>
        <w:pStyle w:val="ListParagraph"/>
        <w:autoSpaceDE w:val="0"/>
        <w:autoSpaceDN w:val="0"/>
        <w:adjustRightInd w:val="0"/>
        <w:spacing w:after="0" w:line="360" w:lineRule="auto"/>
        <w:ind w:left="0"/>
        <w:rPr>
          <w:rFonts w:ascii="Times New Roman" w:hAnsi="Times New Roman"/>
          <w:sz w:val="24"/>
          <w:szCs w:val="24"/>
        </w:rPr>
      </w:pPr>
    </w:p>
    <w:p w:rsidR="0079209C" w:rsidRDefault="0079209C" w:rsidP="00205CF3">
      <w:pPr>
        <w:autoSpaceDE w:val="0"/>
        <w:autoSpaceDN w:val="0"/>
        <w:adjustRightInd w:val="0"/>
        <w:spacing w:line="360" w:lineRule="auto"/>
      </w:pPr>
      <w:r>
        <w:t xml:space="preserve">The two estimated equations </w:t>
      </w:r>
      <w:r w:rsidR="001A4A4D">
        <w:t>for</w:t>
      </w:r>
      <w:r>
        <w:t xml:space="preserve"> headline inflation and core inflation </w:t>
      </w:r>
      <w:r w:rsidR="002C6DD3">
        <w:t xml:space="preserve">(t-values in brackets) </w:t>
      </w:r>
      <w:r>
        <w:t>are as follow</w:t>
      </w:r>
      <w:r w:rsidR="00F13EAC">
        <w:t>s</w:t>
      </w:r>
      <w:r>
        <w:t>:</w:t>
      </w:r>
    </w:p>
    <w:p w:rsidR="00BE368A" w:rsidRDefault="00BE368A" w:rsidP="00205CF3">
      <w:pPr>
        <w:autoSpaceDE w:val="0"/>
        <w:autoSpaceDN w:val="0"/>
        <w:adjustRightInd w:val="0"/>
        <w:spacing w:line="360" w:lineRule="auto"/>
      </w:pPr>
    </w:p>
    <w:p w:rsidR="0079209C" w:rsidRDefault="0079209C">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Headline inflation</w:t>
      </w:r>
    </w:p>
    <w:p w:rsidR="0079209C" w:rsidRDefault="00E6556A">
      <w:pPr>
        <w:autoSpaceDE w:val="0"/>
        <w:autoSpaceDN w:val="0"/>
        <w:adjustRightInd w:val="0"/>
        <w:spacing w:line="360" w:lineRule="auto"/>
        <w:ind w:left="2160"/>
      </w:pPr>
      <w:r w:rsidRPr="00E6556A">
        <w:rPr>
          <w:position w:val="-30"/>
        </w:rPr>
        <w:object w:dxaOrig="4040" w:dyaOrig="720">
          <v:shape id="_x0000_i1162" type="#_x0000_t75" style="width:201.75pt;height:36pt" o:ole="">
            <v:imagedata r:id="rId252" o:title=""/>
          </v:shape>
          <o:OLEObject Type="Embed" ProgID="Equation.3" ShapeID="_x0000_i1162" DrawAspect="Content" ObjectID="_1410345303" r:id="rId253"/>
        </w:object>
      </w:r>
    </w:p>
    <w:p w:rsidR="0079209C" w:rsidRDefault="0079209C">
      <w:pPr>
        <w:autoSpaceDE w:val="0"/>
        <w:autoSpaceDN w:val="0"/>
        <w:adjustRightInd w:val="0"/>
        <w:spacing w:line="360" w:lineRule="auto"/>
      </w:pPr>
      <w:r>
        <w:t xml:space="preserve">      </w:t>
      </w:r>
      <w:r>
        <w:tab/>
      </w:r>
      <w:r>
        <w:tab/>
      </w:r>
      <w:r>
        <w:tab/>
        <w:t xml:space="preserve">        </w:t>
      </w:r>
    </w:p>
    <w:p w:rsidR="0079209C" w:rsidRDefault="0079209C" w:rsidP="00E6556A">
      <w:pPr>
        <w:numPr>
          <w:ilvl w:val="0"/>
          <w:numId w:val="2"/>
        </w:numPr>
        <w:autoSpaceDE w:val="0"/>
        <w:autoSpaceDN w:val="0"/>
        <w:adjustRightInd w:val="0"/>
        <w:spacing w:line="360" w:lineRule="auto"/>
      </w:pPr>
      <w:r>
        <w:t>Core inflation</w:t>
      </w:r>
    </w:p>
    <w:p w:rsidR="00E6556A" w:rsidRDefault="008103C1">
      <w:pPr>
        <w:autoSpaceDE w:val="0"/>
        <w:autoSpaceDN w:val="0"/>
        <w:adjustRightInd w:val="0"/>
        <w:spacing w:line="360" w:lineRule="auto"/>
        <w:ind w:left="1800" w:firstLine="360"/>
      </w:pPr>
      <w:r w:rsidRPr="00E6556A">
        <w:rPr>
          <w:position w:val="-30"/>
        </w:rPr>
        <w:object w:dxaOrig="4080" w:dyaOrig="720">
          <v:shape id="_x0000_i1163" type="#_x0000_t75" style="width:204pt;height:36pt" o:ole="">
            <v:imagedata r:id="rId254" o:title=""/>
          </v:shape>
          <o:OLEObject Type="Embed" ProgID="Equation.3" ShapeID="_x0000_i1163" DrawAspect="Content" ObjectID="_1410345304" r:id="rId255"/>
        </w:object>
      </w:r>
    </w:p>
    <w:p w:rsidR="0079209C" w:rsidRDefault="0079209C">
      <w:pPr>
        <w:pStyle w:val="ListParagraph"/>
        <w:autoSpaceDE w:val="0"/>
        <w:autoSpaceDN w:val="0"/>
        <w:adjustRightInd w:val="0"/>
        <w:spacing w:after="0" w:line="360" w:lineRule="auto"/>
        <w:ind w:left="0"/>
        <w:jc w:val="both"/>
        <w:rPr>
          <w:rFonts w:ascii="Times New Roman" w:hAnsi="Times New Roman"/>
          <w:sz w:val="24"/>
          <w:szCs w:val="24"/>
        </w:rPr>
      </w:pPr>
    </w:p>
    <w:p w:rsidR="0079209C" w:rsidRPr="002C6DD3" w:rsidRDefault="002C6DD3" w:rsidP="00205CF3">
      <w:pPr>
        <w:pStyle w:val="ListParagraph"/>
        <w:autoSpaceDE w:val="0"/>
        <w:autoSpaceDN w:val="0"/>
        <w:adjustRightInd w:val="0"/>
        <w:spacing w:after="0" w:line="360" w:lineRule="auto"/>
        <w:ind w:left="0"/>
        <w:rPr>
          <w:rFonts w:ascii="Times New Roman" w:hAnsi="Times New Roman"/>
          <w:sz w:val="24"/>
          <w:szCs w:val="24"/>
        </w:rPr>
      </w:pPr>
      <w:r w:rsidRPr="002C6DD3">
        <w:rPr>
          <w:rFonts w:ascii="Times New Roman" w:hAnsi="Times New Roman"/>
          <w:sz w:val="24"/>
          <w:szCs w:val="24"/>
        </w:rPr>
        <w:t>The coefficients are a similar order of magnitude to the</w:t>
      </w:r>
      <w:r w:rsidR="0079209C" w:rsidRPr="002C6DD3">
        <w:rPr>
          <w:rFonts w:ascii="Times New Roman" w:hAnsi="Times New Roman"/>
          <w:sz w:val="24"/>
          <w:szCs w:val="24"/>
        </w:rPr>
        <w:t xml:space="preserve"> reaction functions</w:t>
      </w:r>
      <w:r w:rsidRPr="002C6DD3">
        <w:rPr>
          <w:rFonts w:ascii="Times New Roman" w:hAnsi="Times New Roman"/>
          <w:sz w:val="24"/>
          <w:szCs w:val="24"/>
        </w:rPr>
        <w:t xml:space="preserve"> estimated in the simulations. </w:t>
      </w:r>
      <w:r w:rsidR="001A4A4D">
        <w:rPr>
          <w:rFonts w:ascii="Times New Roman" w:hAnsi="Times New Roman"/>
          <w:sz w:val="24"/>
          <w:szCs w:val="24"/>
        </w:rPr>
        <w:t xml:space="preserve">The interest rate smoothing terms </w:t>
      </w:r>
      <w:r w:rsidR="008F6E6D">
        <w:rPr>
          <w:rFonts w:ascii="Times New Roman" w:hAnsi="Times New Roman"/>
          <w:sz w:val="24"/>
          <w:szCs w:val="24"/>
        </w:rPr>
        <w:t xml:space="preserve">make the rules approximate the optimizing solution. </w:t>
      </w:r>
      <w:r w:rsidR="0079209C" w:rsidRPr="002C6DD3">
        <w:rPr>
          <w:rFonts w:ascii="Times New Roman" w:hAnsi="Times New Roman"/>
          <w:sz w:val="24"/>
          <w:szCs w:val="24"/>
        </w:rPr>
        <w:t xml:space="preserve">The results suggest Indian policy makers have implicitly understood optimality </w:t>
      </w:r>
      <w:r w:rsidRPr="002C6DD3">
        <w:rPr>
          <w:rFonts w:ascii="Times New Roman" w:hAnsi="Times New Roman"/>
          <w:sz w:val="24"/>
          <w:szCs w:val="24"/>
        </w:rPr>
        <w:t xml:space="preserve">and context </w:t>
      </w:r>
      <w:r w:rsidR="001A4A4D">
        <w:rPr>
          <w:rFonts w:ascii="Times New Roman" w:hAnsi="Times New Roman"/>
          <w:sz w:val="24"/>
          <w:szCs w:val="24"/>
        </w:rPr>
        <w:t>since</w:t>
      </w:r>
      <w:r w:rsidR="0079209C" w:rsidRPr="002C6DD3">
        <w:rPr>
          <w:rFonts w:ascii="Times New Roman" w:hAnsi="Times New Roman"/>
          <w:sz w:val="24"/>
          <w:szCs w:val="24"/>
        </w:rPr>
        <w:t xml:space="preserve"> the </w:t>
      </w:r>
      <w:r w:rsidR="001A4A4D">
        <w:rPr>
          <w:rFonts w:ascii="Times New Roman" w:hAnsi="Times New Roman"/>
          <w:sz w:val="24"/>
          <w:szCs w:val="24"/>
        </w:rPr>
        <w:t xml:space="preserve">historical </w:t>
      </w:r>
      <w:r w:rsidR="0079209C" w:rsidRPr="002C6DD3">
        <w:rPr>
          <w:rFonts w:ascii="Times New Roman" w:hAnsi="Times New Roman"/>
          <w:sz w:val="24"/>
          <w:szCs w:val="24"/>
        </w:rPr>
        <w:t>response to both inflation and the output gap is not high. The exchange rate was market determined in this period. Calibrations</w:t>
      </w:r>
      <w:r w:rsidR="00B73674">
        <w:rPr>
          <w:rFonts w:ascii="Times New Roman" w:hAnsi="Times New Roman"/>
          <w:sz w:val="24"/>
          <w:szCs w:val="24"/>
        </w:rPr>
        <w:t xml:space="preserve"> in Goyal (2011a)</w:t>
      </w:r>
      <w:r w:rsidR="0079209C" w:rsidRPr="002C6DD3">
        <w:rPr>
          <w:rFonts w:ascii="Times New Roman" w:hAnsi="Times New Roman"/>
          <w:sz w:val="24"/>
          <w:szCs w:val="24"/>
        </w:rPr>
        <w:t xml:space="preserve"> suggest the feedback coefficients could be even lowe</w:t>
      </w:r>
      <w:r w:rsidR="00CE042A">
        <w:rPr>
          <w:rFonts w:ascii="Times New Roman" w:hAnsi="Times New Roman"/>
          <w:sz w:val="24"/>
          <w:szCs w:val="24"/>
        </w:rPr>
        <w:t>r, if the real exchange rate were</w:t>
      </w:r>
      <w:r w:rsidR="0079209C" w:rsidRPr="002C6DD3">
        <w:rPr>
          <w:rFonts w:ascii="Times New Roman" w:hAnsi="Times New Roman"/>
          <w:sz w:val="24"/>
          <w:szCs w:val="24"/>
        </w:rPr>
        <w:t xml:space="preserve"> </w:t>
      </w:r>
      <w:r w:rsidR="00B73674">
        <w:rPr>
          <w:rFonts w:ascii="Times New Roman" w:hAnsi="Times New Roman"/>
          <w:sz w:val="24"/>
          <w:szCs w:val="24"/>
        </w:rPr>
        <w:t>stable</w:t>
      </w:r>
      <w:r w:rsidR="0079209C" w:rsidRPr="002C6DD3">
        <w:rPr>
          <w:rFonts w:ascii="Times New Roman" w:hAnsi="Times New Roman"/>
          <w:sz w:val="24"/>
          <w:szCs w:val="24"/>
        </w:rPr>
        <w:t xml:space="preserve">. </w:t>
      </w:r>
    </w:p>
    <w:p w:rsidR="0079209C" w:rsidRDefault="0079209C" w:rsidP="00205CF3">
      <w:pPr>
        <w:spacing w:line="360" w:lineRule="auto"/>
      </w:pPr>
      <w:r>
        <w:t xml:space="preserve"> </w:t>
      </w:r>
    </w:p>
    <w:p w:rsidR="0079209C" w:rsidRDefault="0079209C" w:rsidP="00205CF3">
      <w:pPr>
        <w:spacing w:line="360" w:lineRule="auto"/>
        <w:rPr>
          <w:b/>
          <w:bCs/>
        </w:rPr>
      </w:pPr>
      <w:r>
        <w:rPr>
          <w:b/>
          <w:bCs/>
        </w:rPr>
        <w:t>6. Conclusion</w:t>
      </w:r>
    </w:p>
    <w:p w:rsidR="00CF26B1" w:rsidRDefault="002B461D" w:rsidP="00205CF3">
      <w:pPr>
        <w:pStyle w:val="Footer"/>
        <w:tabs>
          <w:tab w:val="clear" w:pos="4320"/>
          <w:tab w:val="clear" w:pos="8640"/>
        </w:tabs>
        <w:spacing w:line="360" w:lineRule="auto"/>
      </w:pPr>
      <w:r>
        <w:t xml:space="preserve">Most estimations of Taylor rules for emerging markets, including ours in this paper, </w:t>
      </w:r>
      <w:r w:rsidR="00767B16">
        <w:t>give</w:t>
      </w:r>
      <w:r>
        <w:t xml:space="preserve"> a</w:t>
      </w:r>
      <w:r w:rsidR="00767B16">
        <w:t xml:space="preserve"> coefficient for inflation of m</w:t>
      </w:r>
      <w:r>
        <w:t>u</w:t>
      </w:r>
      <w:r w:rsidR="00767B16">
        <w:t>c</w:t>
      </w:r>
      <w:r>
        <w:t xml:space="preserve">h below unity. </w:t>
      </w:r>
      <w:r w:rsidR="00767B16">
        <w:t xml:space="preserve">The NKE literature shows a coefficient of above unity </w:t>
      </w:r>
      <w:r w:rsidR="002C6DD3">
        <w:t>can impose stability in optimizing models with forward-</w:t>
      </w:r>
      <w:r w:rsidR="002C6DD3">
        <w:lastRenderedPageBreak/>
        <w:t>looking behaviour. Nominal rigidities in NKE models alone do not provide an adequate nominal anchor</w:t>
      </w:r>
      <w:r w:rsidR="00CF26B1">
        <w:t xml:space="preserve"> to prevent explosive outcomes</w:t>
      </w:r>
      <w:r w:rsidR="002C6DD3">
        <w:t xml:space="preserve">. </w:t>
      </w:r>
      <w:r w:rsidR="009A5C57">
        <w:t xml:space="preserve">These theoretical stability results turn out to be the same in an NKE DSGE model adapted to an open economy emerging market model with two types of agents to capture heterogeneity in labour markets and consumers. </w:t>
      </w:r>
    </w:p>
    <w:p w:rsidR="00CF26B1" w:rsidRDefault="00CF26B1" w:rsidP="00205CF3">
      <w:pPr>
        <w:pStyle w:val="Footer"/>
        <w:tabs>
          <w:tab w:val="clear" w:pos="4320"/>
          <w:tab w:val="clear" w:pos="8640"/>
        </w:tabs>
        <w:spacing w:line="360" w:lineRule="auto"/>
      </w:pPr>
    </w:p>
    <w:p w:rsidR="00555777" w:rsidRDefault="009A5C57" w:rsidP="00205CF3">
      <w:pPr>
        <w:spacing w:line="360" w:lineRule="auto"/>
      </w:pPr>
      <w:r>
        <w:t xml:space="preserve">But in </w:t>
      </w:r>
      <w:r w:rsidR="00B73674">
        <w:t>the</w:t>
      </w:r>
      <w:r>
        <w:t xml:space="preserve"> simulated</w:t>
      </w:r>
      <w:r w:rsidR="00B73674">
        <w:t xml:space="preserve"> version of the</w:t>
      </w:r>
      <w:r>
        <w:t xml:space="preserve"> optimizing model that allows lagged policy rates to enter the </w:t>
      </w:r>
      <w:r w:rsidR="00A44AAE">
        <w:t>aggregate demand</w:t>
      </w:r>
      <w:r>
        <w:t xml:space="preserve"> equation, </w:t>
      </w:r>
      <w:r w:rsidR="00555777">
        <w:t xml:space="preserve">and has some degree of backward looking behaviour, </w:t>
      </w:r>
      <w:r>
        <w:t>the derived stabili</w:t>
      </w:r>
      <w:r w:rsidR="008F6E6D">
        <w:t>ty condition does not imply the Taylor rule.</w:t>
      </w:r>
      <w:r>
        <w:t xml:space="preserve"> </w:t>
      </w:r>
      <w:r w:rsidR="008F6E6D">
        <w:t>Stability requires that if the weight on one objective is high that on the other should be low</w:t>
      </w:r>
      <w:r w:rsidR="00555777">
        <w:t>.</w:t>
      </w:r>
      <w:r w:rsidR="008F6E6D">
        <w:t xml:space="preserve"> Optimization</w:t>
      </w:r>
      <w:r w:rsidR="00555777">
        <w:t xml:space="preserve"> </w:t>
      </w:r>
      <w:r w:rsidR="008F6E6D">
        <w:t xml:space="preserve">performs better. </w:t>
      </w:r>
      <w:r w:rsidR="00555777">
        <w:t xml:space="preserve">The reaction functions estimated in optimizing simulations are </w:t>
      </w:r>
      <w:r w:rsidR="008F6E6D">
        <w:t xml:space="preserve">low and </w:t>
      </w:r>
      <w:r w:rsidR="00555777">
        <w:t xml:space="preserve">consistent </w:t>
      </w:r>
      <w:r w:rsidR="008F6E6D">
        <w:t xml:space="preserve">with </w:t>
      </w:r>
      <w:r w:rsidR="00555777">
        <w:t>estimated coefficients of Taylor rules for India</w:t>
      </w:r>
      <w:r w:rsidR="008F6E6D">
        <w:t xml:space="preserve"> that include an interest rate smoothing term</w:t>
      </w:r>
      <w:r w:rsidR="00555777">
        <w:t xml:space="preserve">. </w:t>
      </w:r>
    </w:p>
    <w:p w:rsidR="00555777" w:rsidRDefault="00555777" w:rsidP="00205CF3">
      <w:pPr>
        <w:spacing w:line="360" w:lineRule="auto"/>
      </w:pPr>
    </w:p>
    <w:p w:rsidR="00555777" w:rsidRDefault="005333AF" w:rsidP="00205CF3">
      <w:pPr>
        <w:spacing w:line="360" w:lineRule="auto"/>
      </w:pPr>
      <w:r>
        <w:t>A</w:t>
      </w:r>
      <w:r w:rsidR="00555777">
        <w:t xml:space="preserve">nalytical solutions to monetary policy shocks using the simulation equations, </w:t>
      </w:r>
      <w:r>
        <w:t xml:space="preserve">serve as consistency checks, and </w:t>
      </w:r>
      <w:r w:rsidR="00555777">
        <w:t xml:space="preserve">give results similar to the simulations. </w:t>
      </w:r>
      <w:r w:rsidR="00FD2025">
        <w:t>Therefore a</w:t>
      </w:r>
      <w:r w:rsidR="00555777">
        <w:t xml:space="preserve"> key result, supported by analysis, simulations and estimations is: l</w:t>
      </w:r>
      <w:r>
        <w:t>ags and rigidities in the SOEME</w:t>
      </w:r>
      <w:r w:rsidR="00555777">
        <w:t xml:space="preserve"> make it stable for a co</w:t>
      </w:r>
      <w:r w:rsidR="00A44AAE">
        <w:t xml:space="preserve">efficient of inflation, in Central Bank </w:t>
      </w:r>
      <w:r w:rsidR="00BD41CD">
        <w:t xml:space="preserve">loss functions, </w:t>
      </w:r>
      <w:r w:rsidR="00555777">
        <w:t>simulation reaction function</w:t>
      </w:r>
      <w:r w:rsidR="00BD41CD">
        <w:t>s</w:t>
      </w:r>
      <w:r w:rsidR="00A44AAE">
        <w:t xml:space="preserve"> as well as</w:t>
      </w:r>
      <w:r w:rsidR="00555777">
        <w:t xml:space="preserve"> </w:t>
      </w:r>
      <w:r>
        <w:t>a smoothed</w:t>
      </w:r>
      <w:r w:rsidR="00555777">
        <w:t xml:space="preserve"> policy rule, of less than unity.  </w:t>
      </w:r>
    </w:p>
    <w:p w:rsidR="009A5C57" w:rsidRDefault="009A5C57" w:rsidP="00205CF3">
      <w:pPr>
        <w:pStyle w:val="Footer"/>
        <w:tabs>
          <w:tab w:val="clear" w:pos="4320"/>
          <w:tab w:val="clear" w:pos="8640"/>
        </w:tabs>
        <w:spacing w:line="360" w:lineRule="auto"/>
      </w:pPr>
    </w:p>
    <w:p w:rsidR="00FD2025" w:rsidRDefault="00BD41CD" w:rsidP="00205CF3">
      <w:pPr>
        <w:pStyle w:val="Footer"/>
        <w:tabs>
          <w:tab w:val="clear" w:pos="4320"/>
          <w:tab w:val="clear" w:pos="8640"/>
        </w:tabs>
        <w:spacing w:line="360" w:lineRule="auto"/>
      </w:pPr>
      <w:r>
        <w:t>Outcomes are stable even with a weight of zero on inflation in the loss function when there is no weight on interest rate smoothing</w:t>
      </w:r>
      <w:r w:rsidR="00D4475C">
        <w:t>,</w:t>
      </w:r>
      <w:r>
        <w:t xml:space="preserve"> </w:t>
      </w:r>
      <w:r w:rsidR="00D4475C">
        <w:t xml:space="preserve">and weights on inflation in </w:t>
      </w:r>
      <w:r>
        <w:t xml:space="preserve">estimated reaction functions </w:t>
      </w:r>
      <w:r w:rsidR="00D4475C">
        <w:t>can be very low</w:t>
      </w:r>
      <w:r>
        <w:t>. The lags in the system, and other structural aspects, may be contributing to stability even with a low policy reaction to inflation.</w:t>
      </w:r>
    </w:p>
    <w:p w:rsidR="00962243" w:rsidRDefault="00962243" w:rsidP="00205CF3">
      <w:pPr>
        <w:spacing w:line="360" w:lineRule="auto"/>
      </w:pPr>
    </w:p>
    <w:p w:rsidR="00962243" w:rsidRDefault="00962243" w:rsidP="00205CF3">
      <w:pPr>
        <w:spacing w:line="360" w:lineRule="auto"/>
      </w:pPr>
      <w:r>
        <w:t xml:space="preserve">Since, in </w:t>
      </w:r>
      <w:r w:rsidR="00B73674">
        <w:t>the SOEME</w:t>
      </w:r>
      <w:r>
        <w:t xml:space="preserve"> with debt the forward-looking componen</w:t>
      </w:r>
      <w:r w:rsidR="00CE042A">
        <w:t xml:space="preserve">t of behavior increases, </w:t>
      </w:r>
      <w:r>
        <w:t>the weight on inflation in the loss function has to be higher than it is in the optimizing SOEME model for equilibrium to exist.  But the leeway in stability that results from the lags and other structural aspects</w:t>
      </w:r>
      <w:r w:rsidR="00EF28E0">
        <w:t>,</w:t>
      </w:r>
      <w:r>
        <w:t xml:space="preserve"> such as a positive steady-state growth, shows up in the SOEME debt model in m</w:t>
      </w:r>
      <w:r w:rsidR="005333AF">
        <w:t>ore relaxed requirements on tax rise</w:t>
      </w:r>
      <w:r>
        <w:t xml:space="preserve"> in response to expenditure for stability. The relaxations occur partly since </w:t>
      </w:r>
      <w:r w:rsidR="00B73674">
        <w:t>a</w:t>
      </w:r>
      <w:r>
        <w:t xml:space="preserve"> fall in tax rates reduces the initial rise in debt.</w:t>
      </w:r>
    </w:p>
    <w:p w:rsidR="00D4475C" w:rsidRDefault="00D4475C" w:rsidP="00205CF3">
      <w:pPr>
        <w:spacing w:line="360" w:lineRule="auto"/>
        <w:rPr>
          <w:bCs/>
        </w:rPr>
      </w:pPr>
    </w:p>
    <w:p w:rsidR="0079209C" w:rsidRDefault="00962243">
      <w:pPr>
        <w:spacing w:line="360" w:lineRule="auto"/>
        <w:rPr>
          <w:bCs/>
        </w:rPr>
      </w:pPr>
      <w:r>
        <w:rPr>
          <w:bCs/>
        </w:rPr>
        <w:lastRenderedPageBreak/>
        <w:t xml:space="preserve">The results suggest, more generally, that the effect of specific </w:t>
      </w:r>
      <w:r w:rsidR="00071DB9" w:rsidRPr="00071DB9">
        <w:rPr>
          <w:bCs/>
        </w:rPr>
        <w:t>rigidities</w:t>
      </w:r>
      <w:r>
        <w:rPr>
          <w:bCs/>
        </w:rPr>
        <w:t xml:space="preserve"> on stability should be more carefully explored, and knowledge of the</w:t>
      </w:r>
      <w:r w:rsidR="00EF28E0">
        <w:rPr>
          <w:bCs/>
        </w:rPr>
        <w:t>se</w:t>
      </w:r>
      <w:r>
        <w:rPr>
          <w:bCs/>
        </w:rPr>
        <w:t xml:space="preserve"> rigidities can give useful inputs for the design of policy. </w:t>
      </w:r>
      <w:r w:rsidR="00EF28E0">
        <w:rPr>
          <w:bCs/>
        </w:rPr>
        <w:t xml:space="preserve">Further work to explore the effect of model parameters on stability </w:t>
      </w:r>
      <w:r w:rsidR="0006255E">
        <w:rPr>
          <w:bCs/>
        </w:rPr>
        <w:t>woul</w:t>
      </w:r>
      <w:r w:rsidR="00EF28E0">
        <w:rPr>
          <w:bCs/>
        </w:rPr>
        <w:t>d</w:t>
      </w:r>
      <w:r w:rsidR="0006255E">
        <w:rPr>
          <w:bCs/>
        </w:rPr>
        <w:t xml:space="preserve"> be useful</w:t>
      </w:r>
      <w:r w:rsidR="00EF28E0">
        <w:rPr>
          <w:bCs/>
        </w:rPr>
        <w:t>.</w:t>
      </w:r>
    </w:p>
    <w:p w:rsidR="0006255E" w:rsidRPr="0006255E" w:rsidRDefault="0006255E">
      <w:pPr>
        <w:spacing w:line="360" w:lineRule="auto"/>
        <w:rPr>
          <w:bCs/>
        </w:rPr>
      </w:pPr>
    </w:p>
    <w:p w:rsidR="0079209C" w:rsidRDefault="0079209C">
      <w:pPr>
        <w:spacing w:line="360" w:lineRule="auto"/>
        <w:rPr>
          <w:b/>
          <w:bCs/>
        </w:rPr>
      </w:pPr>
      <w:r>
        <w:rPr>
          <w:b/>
          <w:bCs/>
        </w:rPr>
        <w:t>References</w:t>
      </w:r>
    </w:p>
    <w:p w:rsidR="0079209C" w:rsidRDefault="0079209C">
      <w:r>
        <w:t>Bullard, J. and Mitra</w:t>
      </w:r>
      <w:r w:rsidR="00DA7FC8" w:rsidRPr="00DA7FC8">
        <w:t xml:space="preserve"> </w:t>
      </w:r>
      <w:r w:rsidR="00DA7FC8">
        <w:t>K.</w:t>
      </w:r>
      <w:r>
        <w:t xml:space="preserve"> </w:t>
      </w:r>
      <w:r w:rsidR="00DA7FC8">
        <w:t>(</w:t>
      </w:r>
      <w:r>
        <w:t>2002</w:t>
      </w:r>
      <w:r w:rsidR="00DA7FC8">
        <w:t>).</w:t>
      </w:r>
      <w:r>
        <w:t xml:space="preserve"> </w:t>
      </w:r>
      <w:r w:rsidR="00B73674">
        <w:t>‘</w:t>
      </w:r>
      <w:r>
        <w:t>Learning about monetary policy rules</w:t>
      </w:r>
      <w:r w:rsidR="00B73674">
        <w:t>’</w:t>
      </w:r>
      <w:r>
        <w:t>, Journal of Monetary Economics, Sept., 49(6), 1105-1129.</w:t>
      </w:r>
    </w:p>
    <w:p w:rsidR="0079209C" w:rsidRDefault="0079209C">
      <w:pPr>
        <w:autoSpaceDE w:val="0"/>
        <w:autoSpaceDN w:val="0"/>
        <w:adjustRightInd w:val="0"/>
      </w:pPr>
    </w:p>
    <w:p w:rsidR="0079209C" w:rsidRDefault="0079209C">
      <w:pPr>
        <w:autoSpaceDE w:val="0"/>
        <w:autoSpaceDN w:val="0"/>
        <w:adjustRightInd w:val="0"/>
        <w:rPr>
          <w:rStyle w:val="txt"/>
        </w:rPr>
      </w:pPr>
      <w:r>
        <w:rPr>
          <w:rStyle w:val="txt"/>
        </w:rPr>
        <w:t xml:space="preserve"> Clarida, R., Galí, J., Gertler, M. (2000). Monetary policy rules and macroeconomic stability: Evidence and some theory. </w:t>
      </w:r>
      <w:r>
        <w:rPr>
          <w:rStyle w:val="txt"/>
          <w:i/>
        </w:rPr>
        <w:t>Quarterly Journal of Economics,</w:t>
      </w:r>
      <w:r>
        <w:rPr>
          <w:rStyle w:val="txt"/>
        </w:rPr>
        <w:t xml:space="preserve"> 115 (1), pp. 147-180.</w:t>
      </w:r>
    </w:p>
    <w:p w:rsidR="0079209C" w:rsidRDefault="0079209C"/>
    <w:p w:rsidR="009603CB" w:rsidRDefault="009603CB">
      <w:r>
        <w:t xml:space="preserve">Clarida R., Galí J., and Gertler M. </w:t>
      </w:r>
      <w:r w:rsidR="00DA7FC8">
        <w:t>(1999).</w:t>
      </w:r>
      <w:r>
        <w:t xml:space="preserve">The Science of Monetary Policy: A New Keynesian perspective. </w:t>
      </w:r>
      <w:r>
        <w:rPr>
          <w:iCs/>
        </w:rPr>
        <w:t>Journal of Economic Literature</w:t>
      </w:r>
      <w:r>
        <w:t>. 37 (4), 1661-707.</w:t>
      </w:r>
    </w:p>
    <w:p w:rsidR="009603CB" w:rsidRDefault="009603CB"/>
    <w:p w:rsidR="0079209C" w:rsidRDefault="0079209C">
      <w:r>
        <w:t xml:space="preserve">Friedman, B.M. </w:t>
      </w:r>
      <w:r w:rsidR="00DA7FC8">
        <w:t>(</w:t>
      </w:r>
      <w:r>
        <w:t>1990</w:t>
      </w:r>
      <w:r w:rsidR="00DA7FC8">
        <w:t>)</w:t>
      </w:r>
      <w:r>
        <w:t xml:space="preserve">. </w:t>
      </w:r>
      <w:r w:rsidR="00B73674">
        <w:t>‘</w:t>
      </w:r>
      <w:r>
        <w:t>Targets and Instruments of Monetary Policy'. in B. Friedman and F. Hahn (eds</w:t>
      </w:r>
      <w:r w:rsidR="00A93AEF">
        <w:t>.</w:t>
      </w:r>
      <w:r>
        <w:t>), The Handbook of Monetary Economics, Vol. 2, 1183-1230. New York: North Holland.</w:t>
      </w:r>
    </w:p>
    <w:p w:rsidR="0079209C" w:rsidRDefault="0079209C"/>
    <w:p w:rsidR="0079209C" w:rsidRDefault="0079209C">
      <w:r>
        <w:t>Gal</w:t>
      </w:r>
      <w:r w:rsidR="00A93AEF">
        <w:t>í</w:t>
      </w:r>
      <w:r>
        <w:t xml:space="preserve">, J. </w:t>
      </w:r>
      <w:r w:rsidR="00DA7FC8">
        <w:t>(</w:t>
      </w:r>
      <w:r>
        <w:t>2008</w:t>
      </w:r>
      <w:r w:rsidR="00DA7FC8">
        <w:t>)</w:t>
      </w:r>
      <w:r>
        <w:t>. ‘Monetary policy, inflation, and the business cycle: an introduction to the new Keynesian framework’. Princeton University press</w:t>
      </w:r>
    </w:p>
    <w:p w:rsidR="0079209C" w:rsidRDefault="0079209C"/>
    <w:p w:rsidR="00A93AEF" w:rsidRDefault="00A93AEF">
      <w:r>
        <w:t xml:space="preserve">Galí J., J. D. López-Salido  and J. Vallés. (2004). Rule of Thumb Consumers and the Design of Interest Rates Rules. </w:t>
      </w:r>
      <w:r>
        <w:rPr>
          <w:i/>
          <w:iCs/>
        </w:rPr>
        <w:t>Journal of Money, Credit, and Banking</w:t>
      </w:r>
      <w:r>
        <w:t>. 36(4): 739-764.</w:t>
      </w:r>
    </w:p>
    <w:p w:rsidR="00A93AEF" w:rsidRDefault="00A93AEF"/>
    <w:p w:rsidR="0079209C" w:rsidRDefault="0079209C">
      <w:r>
        <w:t>Gal</w:t>
      </w:r>
      <w:r w:rsidR="00A93AEF">
        <w:t>í</w:t>
      </w:r>
      <w:r>
        <w:t xml:space="preserve"> J. and T. Monacelli. </w:t>
      </w:r>
      <w:r w:rsidR="00DA7FC8">
        <w:t>(</w:t>
      </w:r>
      <w:r>
        <w:t>2005</w:t>
      </w:r>
      <w:r w:rsidR="00DA7FC8">
        <w:t>)</w:t>
      </w:r>
      <w:r>
        <w:t xml:space="preserve">. Monetary </w:t>
      </w:r>
      <w:r w:rsidR="00B73674">
        <w:t>p</w:t>
      </w:r>
      <w:r>
        <w:t xml:space="preserve">olicy and </w:t>
      </w:r>
      <w:r w:rsidR="00B73674">
        <w:t>e</w:t>
      </w:r>
      <w:r>
        <w:t xml:space="preserve">xchange </w:t>
      </w:r>
      <w:r w:rsidR="00B73674">
        <w:t>rate volatility in a s</w:t>
      </w:r>
      <w:r>
        <w:t xml:space="preserve">mall </w:t>
      </w:r>
      <w:r w:rsidR="00B73674">
        <w:t>o</w:t>
      </w:r>
      <w:r>
        <w:t xml:space="preserve">pen </w:t>
      </w:r>
      <w:r w:rsidR="00B73674">
        <w:t>e</w:t>
      </w:r>
      <w:r>
        <w:t xml:space="preserve">conomy. </w:t>
      </w:r>
      <w:r w:rsidRPr="00B73674">
        <w:rPr>
          <w:i/>
          <w:iCs/>
        </w:rPr>
        <w:t>Review of Economic Studies</w:t>
      </w:r>
      <w:r w:rsidR="00A93AEF">
        <w:t>.</w:t>
      </w:r>
      <w:r>
        <w:t xml:space="preserve"> 72(3): 707-734.</w:t>
      </w:r>
    </w:p>
    <w:p w:rsidR="00B73674" w:rsidRDefault="00B73674" w:rsidP="00B73674"/>
    <w:p w:rsidR="0079209C" w:rsidRDefault="0079209C">
      <w:pPr>
        <w:widowControl w:val="0"/>
        <w:tabs>
          <w:tab w:val="left" w:pos="-720"/>
        </w:tabs>
        <w:suppressAutoHyphens/>
      </w:pPr>
      <w:r>
        <w:rPr>
          <w:bCs/>
          <w:spacing w:val="-3"/>
        </w:rPr>
        <w:t>Goyal, A. (</w:t>
      </w:r>
      <w:r>
        <w:t>2011</w:t>
      </w:r>
      <w:r w:rsidR="00AB5732">
        <w:t>a</w:t>
      </w:r>
      <w:r>
        <w:t xml:space="preserve">). </w:t>
      </w:r>
      <w:r>
        <w:rPr>
          <w:bCs/>
          <w:spacing w:val="-3"/>
        </w:rPr>
        <w:t xml:space="preserve"> ‘A </w:t>
      </w:r>
      <w:r w:rsidR="00B73674">
        <w:rPr>
          <w:bCs/>
          <w:spacing w:val="-3"/>
        </w:rPr>
        <w:t>g</w:t>
      </w:r>
      <w:r>
        <w:rPr>
          <w:bCs/>
          <w:spacing w:val="-3"/>
        </w:rPr>
        <w:t xml:space="preserve">eneral </w:t>
      </w:r>
      <w:r w:rsidR="00B73674">
        <w:rPr>
          <w:bCs/>
          <w:spacing w:val="-3"/>
        </w:rPr>
        <w:t>e</w:t>
      </w:r>
      <w:r>
        <w:rPr>
          <w:bCs/>
          <w:spacing w:val="-3"/>
        </w:rPr>
        <w:t xml:space="preserve">quilibrium </w:t>
      </w:r>
      <w:r w:rsidR="00B73674">
        <w:rPr>
          <w:bCs/>
          <w:spacing w:val="-3"/>
        </w:rPr>
        <w:t>o</w:t>
      </w:r>
      <w:r>
        <w:rPr>
          <w:bCs/>
          <w:spacing w:val="-3"/>
        </w:rPr>
        <w:t xml:space="preserve">pen </w:t>
      </w:r>
      <w:r w:rsidR="00B73674">
        <w:rPr>
          <w:bCs/>
          <w:spacing w:val="-3"/>
        </w:rPr>
        <w:t>e</w:t>
      </w:r>
      <w:r>
        <w:rPr>
          <w:bCs/>
          <w:spacing w:val="-3"/>
        </w:rPr>
        <w:t xml:space="preserve">conomy </w:t>
      </w:r>
      <w:r w:rsidR="00B73674">
        <w:rPr>
          <w:bCs/>
          <w:spacing w:val="-3"/>
        </w:rPr>
        <w:t>m</w:t>
      </w:r>
      <w:r>
        <w:rPr>
          <w:bCs/>
          <w:spacing w:val="-3"/>
        </w:rPr>
        <w:t xml:space="preserve">odel for </w:t>
      </w:r>
      <w:r w:rsidR="00B73674">
        <w:rPr>
          <w:bCs/>
          <w:spacing w:val="-3"/>
        </w:rPr>
        <w:t>e</w:t>
      </w:r>
      <w:r>
        <w:rPr>
          <w:bCs/>
          <w:spacing w:val="-3"/>
        </w:rPr>
        <w:t xml:space="preserve">merging </w:t>
      </w:r>
      <w:r w:rsidR="00B73674">
        <w:rPr>
          <w:bCs/>
          <w:spacing w:val="-3"/>
        </w:rPr>
        <w:t>m</w:t>
      </w:r>
      <w:r>
        <w:rPr>
          <w:bCs/>
          <w:spacing w:val="-3"/>
        </w:rPr>
        <w:t xml:space="preserve">arkets: </w:t>
      </w:r>
      <w:r w:rsidR="00B73674">
        <w:rPr>
          <w:bCs/>
          <w:spacing w:val="-3"/>
        </w:rPr>
        <w:t>m</w:t>
      </w:r>
      <w:r>
        <w:rPr>
          <w:bCs/>
          <w:spacing w:val="-3"/>
        </w:rPr>
        <w:t>onetary policy with a dualistic labor market’</w:t>
      </w:r>
      <w:r>
        <w:rPr>
          <w:spacing w:val="-3"/>
        </w:rPr>
        <w:t xml:space="preserve">, </w:t>
      </w:r>
      <w:r>
        <w:rPr>
          <w:i/>
          <w:iCs/>
          <w:spacing w:val="-3"/>
        </w:rPr>
        <w:t>Economic Modelling</w:t>
      </w:r>
      <w:r>
        <w:rPr>
          <w:spacing w:val="-3"/>
        </w:rPr>
        <w:t>, Vol. 28, Issue 2, 1392-1404</w:t>
      </w:r>
      <w:r>
        <w:t>.</w:t>
      </w:r>
    </w:p>
    <w:p w:rsidR="0079209C" w:rsidRDefault="0079209C">
      <w:pPr>
        <w:widowControl w:val="0"/>
        <w:tabs>
          <w:tab w:val="left" w:pos="-720"/>
        </w:tabs>
        <w:suppressAutoHyphens/>
      </w:pPr>
    </w:p>
    <w:p w:rsidR="0079209C" w:rsidRDefault="0079209C">
      <w:pPr>
        <w:widowControl w:val="0"/>
        <w:tabs>
          <w:tab w:val="left" w:pos="-720"/>
        </w:tabs>
        <w:suppressAutoHyphens/>
        <w:rPr>
          <w:spacing w:val="-3"/>
        </w:rPr>
      </w:pPr>
      <w:r>
        <w:rPr>
          <w:bCs/>
          <w:spacing w:val="-3"/>
        </w:rPr>
        <w:t>Goyal, A. (</w:t>
      </w:r>
      <w:r>
        <w:t>2011</w:t>
      </w:r>
      <w:r w:rsidR="00AB5732">
        <w:t>b</w:t>
      </w:r>
      <w:r>
        <w:t xml:space="preserve">). </w:t>
      </w:r>
      <w:r>
        <w:rPr>
          <w:bCs/>
          <w:spacing w:val="-3"/>
        </w:rPr>
        <w:t xml:space="preserve"> </w:t>
      </w:r>
      <w:r>
        <w:rPr>
          <w:bCs/>
        </w:rPr>
        <w:t xml:space="preserve">‘Sustainable </w:t>
      </w:r>
      <w:r w:rsidR="00B73674">
        <w:rPr>
          <w:bCs/>
        </w:rPr>
        <w:t>d</w:t>
      </w:r>
      <w:r>
        <w:rPr>
          <w:bCs/>
        </w:rPr>
        <w:t xml:space="preserve">ebt and </w:t>
      </w:r>
      <w:r w:rsidR="00B73674">
        <w:rPr>
          <w:bCs/>
        </w:rPr>
        <w:t>d</w:t>
      </w:r>
      <w:r>
        <w:rPr>
          <w:bCs/>
        </w:rPr>
        <w:t xml:space="preserve">eficits in </w:t>
      </w:r>
      <w:r w:rsidR="00B73674">
        <w:rPr>
          <w:bCs/>
        </w:rPr>
        <w:t>emerging m</w:t>
      </w:r>
      <w:r>
        <w:rPr>
          <w:bCs/>
        </w:rPr>
        <w:t>arkets’</w:t>
      </w:r>
      <w:r>
        <w:t xml:space="preserve">, </w:t>
      </w:r>
      <w:r>
        <w:rPr>
          <w:i/>
          <w:iCs/>
        </w:rPr>
        <w:t>International Journal of Trade and Global Markets</w:t>
      </w:r>
      <w:r>
        <w:t xml:space="preserve">, </w:t>
      </w:r>
      <w:r>
        <w:rPr>
          <w:color w:val="000000"/>
        </w:rPr>
        <w:t>Vol. 4, No. 2</w:t>
      </w:r>
      <w:r>
        <w:t xml:space="preserve">, 113-136. </w:t>
      </w:r>
    </w:p>
    <w:p w:rsidR="0079209C" w:rsidRDefault="0079209C"/>
    <w:p w:rsidR="009603CB" w:rsidRDefault="009603CB" w:rsidP="009603CB">
      <w:r>
        <w:rPr>
          <w:bCs/>
          <w:spacing w:val="-3"/>
        </w:rPr>
        <w:t>Goyal, A. (</w:t>
      </w:r>
      <w:r>
        <w:t>2009). ‘The natural interest rate in emerging markets’, in B</w:t>
      </w:r>
      <w:r w:rsidR="0006255E">
        <w:t>.</w:t>
      </w:r>
      <w:r>
        <w:t xml:space="preserve"> Dutta, T</w:t>
      </w:r>
      <w:r w:rsidR="0006255E">
        <w:t>.</w:t>
      </w:r>
      <w:r>
        <w:t xml:space="preserve"> Roy, and E. Somanathan (eds.), </w:t>
      </w:r>
      <w:r w:rsidRPr="00B73674">
        <w:rPr>
          <w:i/>
        </w:rPr>
        <w:t>New and Enduring Themes in Development Economics</w:t>
      </w:r>
      <w:r>
        <w:t>, World Scientific Publishers.</w:t>
      </w:r>
    </w:p>
    <w:p w:rsidR="009603CB" w:rsidRDefault="009603CB">
      <w:pPr>
        <w:rPr>
          <w:bCs/>
          <w:spacing w:val="-3"/>
        </w:rPr>
      </w:pPr>
    </w:p>
    <w:p w:rsidR="009603CB" w:rsidRDefault="009603CB">
      <w:r>
        <w:rPr>
          <w:bCs/>
          <w:spacing w:val="-3"/>
        </w:rPr>
        <w:t>Goyal, A. (</w:t>
      </w:r>
      <w:r>
        <w:t>2007).</w:t>
      </w:r>
      <w:r w:rsidRPr="009603CB">
        <w:t xml:space="preserve"> “Trade Offs, Delegation and Fiscal-Monetary Coordination in a Developing Economy”, Indian Economic Review, Vol. 42, No. 2, July-Dec, 141-164, 2007.</w:t>
      </w:r>
    </w:p>
    <w:p w:rsidR="0006255E" w:rsidRDefault="0006255E"/>
    <w:p w:rsidR="0006255E" w:rsidRPr="001C5ABA" w:rsidRDefault="0006255E">
      <w:r>
        <w:t xml:space="preserve">Hoy, M., J. Livernois, C. McKenna, R. Rees, and T. Stengos. (2004). </w:t>
      </w:r>
      <w:r w:rsidR="001C5ABA">
        <w:rPr>
          <w:i/>
        </w:rPr>
        <w:t>Mathematics for Economists</w:t>
      </w:r>
      <w:r w:rsidR="001C5ABA">
        <w:t>, Second edition, New Delhi: Prentice Hall of India.</w:t>
      </w:r>
    </w:p>
    <w:p w:rsidR="0079209C" w:rsidRDefault="0079209C"/>
    <w:p w:rsidR="0079209C" w:rsidRDefault="0079209C">
      <w:pPr>
        <w:pStyle w:val="Bibliography"/>
        <w:spacing w:after="0" w:line="240" w:lineRule="auto"/>
        <w:rPr>
          <w:rFonts w:ascii="Times New Roman" w:hAnsi="Times New Roman"/>
          <w:noProof/>
          <w:sz w:val="24"/>
          <w:szCs w:val="24"/>
        </w:rPr>
      </w:pPr>
      <w:r>
        <w:rPr>
          <w:rFonts w:ascii="Times New Roman" w:hAnsi="Times New Roman"/>
          <w:noProof/>
          <w:sz w:val="24"/>
          <w:szCs w:val="24"/>
        </w:rPr>
        <w:t>Maslowska, A. (2009). ‘</w:t>
      </w:r>
      <w:r>
        <w:rPr>
          <w:rFonts w:ascii="Times New Roman" w:hAnsi="Times New Roman"/>
          <w:iCs/>
          <w:noProof/>
          <w:sz w:val="24"/>
          <w:szCs w:val="24"/>
        </w:rPr>
        <w:t xml:space="preserve">Using Taylor </w:t>
      </w:r>
      <w:r w:rsidR="00B73674">
        <w:rPr>
          <w:rFonts w:ascii="Times New Roman" w:hAnsi="Times New Roman"/>
          <w:iCs/>
          <w:noProof/>
          <w:sz w:val="24"/>
          <w:szCs w:val="24"/>
        </w:rPr>
        <w:t>r</w:t>
      </w:r>
      <w:r>
        <w:rPr>
          <w:rFonts w:ascii="Times New Roman" w:hAnsi="Times New Roman"/>
          <w:iCs/>
          <w:noProof/>
          <w:sz w:val="24"/>
          <w:szCs w:val="24"/>
        </w:rPr>
        <w:t xml:space="preserve">ule to </w:t>
      </w:r>
      <w:r w:rsidR="00B73674">
        <w:rPr>
          <w:rFonts w:ascii="Times New Roman" w:hAnsi="Times New Roman"/>
          <w:iCs/>
          <w:noProof/>
          <w:sz w:val="24"/>
          <w:szCs w:val="24"/>
        </w:rPr>
        <w:t>explain i</w:t>
      </w:r>
      <w:r>
        <w:rPr>
          <w:rFonts w:ascii="Times New Roman" w:hAnsi="Times New Roman"/>
          <w:iCs/>
          <w:noProof/>
          <w:sz w:val="24"/>
          <w:szCs w:val="24"/>
        </w:rPr>
        <w:t xml:space="preserve">nstitutional </w:t>
      </w:r>
      <w:r w:rsidR="00B73674">
        <w:rPr>
          <w:rFonts w:ascii="Times New Roman" w:hAnsi="Times New Roman"/>
          <w:iCs/>
          <w:noProof/>
          <w:sz w:val="24"/>
          <w:szCs w:val="24"/>
        </w:rPr>
        <w:t>changes in c</w:t>
      </w:r>
      <w:r>
        <w:rPr>
          <w:rFonts w:ascii="Times New Roman" w:hAnsi="Times New Roman"/>
          <w:iCs/>
          <w:noProof/>
          <w:sz w:val="24"/>
          <w:szCs w:val="24"/>
        </w:rPr>
        <w:t xml:space="preserve">entral </w:t>
      </w:r>
      <w:r w:rsidR="00B73674">
        <w:rPr>
          <w:rFonts w:ascii="Times New Roman" w:hAnsi="Times New Roman"/>
          <w:iCs/>
          <w:noProof/>
          <w:sz w:val="24"/>
          <w:szCs w:val="24"/>
        </w:rPr>
        <w:t>b</w:t>
      </w:r>
      <w:r>
        <w:rPr>
          <w:rFonts w:ascii="Times New Roman" w:hAnsi="Times New Roman"/>
          <w:iCs/>
          <w:noProof/>
          <w:sz w:val="24"/>
          <w:szCs w:val="24"/>
        </w:rPr>
        <w:t>anks’</w:t>
      </w:r>
      <w:r>
        <w:rPr>
          <w:rFonts w:ascii="Times New Roman" w:hAnsi="Times New Roman"/>
          <w:i/>
          <w:iCs/>
          <w:noProof/>
          <w:sz w:val="24"/>
          <w:szCs w:val="24"/>
        </w:rPr>
        <w:t>.</w:t>
      </w:r>
      <w:r>
        <w:rPr>
          <w:rFonts w:ascii="Times New Roman" w:hAnsi="Times New Roman"/>
          <w:noProof/>
          <w:sz w:val="24"/>
          <w:szCs w:val="24"/>
        </w:rPr>
        <w:t xml:space="preserve"> </w:t>
      </w:r>
      <w:r>
        <w:rPr>
          <w:rFonts w:ascii="Times New Roman" w:hAnsi="Times New Roman"/>
          <w:i/>
          <w:noProof/>
          <w:sz w:val="24"/>
          <w:szCs w:val="24"/>
        </w:rPr>
        <w:t>Aboa Centre for Economics</w:t>
      </w:r>
      <w:r w:rsidR="0006255E">
        <w:rPr>
          <w:rFonts w:ascii="Times New Roman" w:hAnsi="Times New Roman"/>
          <w:noProof/>
          <w:sz w:val="24"/>
          <w:szCs w:val="24"/>
        </w:rPr>
        <w:t xml:space="preserve">, Discussion Paper </w:t>
      </w:r>
      <w:r>
        <w:rPr>
          <w:rFonts w:ascii="Times New Roman" w:hAnsi="Times New Roman"/>
          <w:noProof/>
          <w:sz w:val="24"/>
          <w:szCs w:val="24"/>
        </w:rPr>
        <w:t>46. March</w:t>
      </w:r>
      <w:r w:rsidR="0006255E">
        <w:rPr>
          <w:rFonts w:ascii="Times New Roman" w:hAnsi="Times New Roman"/>
          <w:noProof/>
          <w:sz w:val="24"/>
          <w:szCs w:val="24"/>
        </w:rPr>
        <w:t>.</w:t>
      </w:r>
    </w:p>
    <w:p w:rsidR="0079209C" w:rsidRDefault="0079209C"/>
    <w:p w:rsidR="0079209C" w:rsidRDefault="0079209C">
      <w:r>
        <w:t xml:space="preserve">McCallum, B.T. (1981). ‘Price level determinancy with an interest rate policy rule and rational expectations’, </w:t>
      </w:r>
      <w:r>
        <w:rPr>
          <w:i/>
        </w:rPr>
        <w:t>Journal of Monetary Economics</w:t>
      </w:r>
      <w:r>
        <w:t>, 8: 319-329</w:t>
      </w:r>
      <w:r w:rsidR="0006255E">
        <w:t>.</w:t>
      </w:r>
    </w:p>
    <w:p w:rsidR="0006255E" w:rsidRPr="0006255E" w:rsidRDefault="0006255E"/>
    <w:p w:rsidR="0079209C" w:rsidRDefault="002B461D">
      <w:pPr>
        <w:rPr>
          <w:bCs/>
        </w:rPr>
      </w:pPr>
      <w:r>
        <w:rPr>
          <w:bCs/>
        </w:rPr>
        <w:t>Sarge</w:t>
      </w:r>
      <w:r w:rsidR="0079209C">
        <w:rPr>
          <w:bCs/>
        </w:rPr>
        <w:t xml:space="preserve">nt, T.J. and N. Wallace. (1975). ‘”Rational” expectations, the optimal monetary instrument, and the optimal money supply rule’, </w:t>
      </w:r>
      <w:r w:rsidR="0079209C">
        <w:rPr>
          <w:bCs/>
          <w:i/>
        </w:rPr>
        <w:t>Journal of Political Economy</w:t>
      </w:r>
      <w:r w:rsidR="0079209C">
        <w:rPr>
          <w:bCs/>
        </w:rPr>
        <w:t>, 83: 241-254</w:t>
      </w:r>
    </w:p>
    <w:p w:rsidR="0079209C" w:rsidRDefault="0079209C">
      <w:pPr>
        <w:rPr>
          <w:bCs/>
        </w:rPr>
      </w:pPr>
    </w:p>
    <w:p w:rsidR="008C67B5" w:rsidRDefault="0079209C">
      <w:pPr>
        <w:tabs>
          <w:tab w:val="left" w:pos="720"/>
        </w:tabs>
      </w:pPr>
      <w:r>
        <w:t xml:space="preserve">Taylor, John B. (1993). </w:t>
      </w:r>
      <w:r w:rsidR="00B73674">
        <w:t>‘</w:t>
      </w:r>
      <w:r>
        <w:t xml:space="preserve">Discretion versus </w:t>
      </w:r>
      <w:r w:rsidR="00B73674">
        <w:t>policy r</w:t>
      </w:r>
      <w:r>
        <w:t xml:space="preserve">ules in </w:t>
      </w:r>
      <w:r w:rsidR="00B73674">
        <w:t>p</w:t>
      </w:r>
      <w:r>
        <w:t>ractice,</w:t>
      </w:r>
      <w:r w:rsidR="00B73674">
        <w:t>’</w:t>
      </w:r>
      <w:r>
        <w:t xml:space="preserve"> Carnegie-Rochester Conference Series on Public Policy, 39, pp.195-214</w:t>
      </w:r>
      <w:r w:rsidR="008C67B5">
        <w:t>.</w:t>
      </w:r>
    </w:p>
    <w:p w:rsidR="0079209C" w:rsidRDefault="008C67B5">
      <w:pPr>
        <w:tabs>
          <w:tab w:val="left" w:pos="720"/>
        </w:tabs>
      </w:pPr>
      <w:r>
        <w:t xml:space="preserve"> </w:t>
      </w:r>
    </w:p>
    <w:p w:rsidR="0079209C" w:rsidRDefault="0079209C">
      <w:pPr>
        <w:tabs>
          <w:tab w:val="left" w:pos="720"/>
        </w:tabs>
      </w:pPr>
      <w:r>
        <w:t>Taylor</w:t>
      </w:r>
      <w:r w:rsidR="0006255E">
        <w:t>, John B</w:t>
      </w:r>
      <w:r>
        <w:t xml:space="preserve">. </w:t>
      </w:r>
      <w:r w:rsidR="00DA7FC8">
        <w:t xml:space="preserve">(2001). </w:t>
      </w:r>
      <w:r w:rsidR="00F90FC5">
        <w:t>‘</w:t>
      </w:r>
      <w:r>
        <w:t xml:space="preserve">The </w:t>
      </w:r>
      <w:r w:rsidR="00F90FC5">
        <w:t>r</w:t>
      </w:r>
      <w:r>
        <w:t xml:space="preserve">ole of the </w:t>
      </w:r>
      <w:r w:rsidR="00F90FC5">
        <w:t>e</w:t>
      </w:r>
      <w:r>
        <w:t xml:space="preserve">xchange </w:t>
      </w:r>
      <w:r w:rsidR="00F90FC5">
        <w:t>rate in monetary p</w:t>
      </w:r>
      <w:r>
        <w:t xml:space="preserve">olicy </w:t>
      </w:r>
      <w:r w:rsidR="00F90FC5">
        <w:t>r</w:t>
      </w:r>
      <w:r>
        <w:t>ules,</w:t>
      </w:r>
      <w:r w:rsidR="00F90FC5">
        <w:t>’</w:t>
      </w:r>
      <w:r>
        <w:t xml:space="preserve"> </w:t>
      </w:r>
      <w:r w:rsidRPr="00F90FC5">
        <w:rPr>
          <w:i/>
        </w:rPr>
        <w:t>American Economic Review</w:t>
      </w:r>
      <w:r>
        <w:t>, Papers and Proceedings, 91 (2), May, pp. 263-267.</w:t>
      </w:r>
    </w:p>
    <w:p w:rsidR="0079209C" w:rsidRDefault="0079209C">
      <w:pPr>
        <w:tabs>
          <w:tab w:val="left" w:pos="720"/>
        </w:tabs>
      </w:pPr>
    </w:p>
    <w:p w:rsidR="0079209C" w:rsidRDefault="0079209C">
      <w:r>
        <w:t xml:space="preserve">Woodford, M. </w:t>
      </w:r>
      <w:r w:rsidR="00F90FC5">
        <w:t>(</w:t>
      </w:r>
      <w:r>
        <w:t>2003</w:t>
      </w:r>
      <w:r w:rsidR="00F90FC5">
        <w:t>)</w:t>
      </w:r>
      <w:r>
        <w:t xml:space="preserve">. </w:t>
      </w:r>
      <w:r w:rsidR="00F90FC5">
        <w:t>‘</w:t>
      </w:r>
      <w:r>
        <w:rPr>
          <w:iCs/>
        </w:rPr>
        <w:t xml:space="preserve">Interest and </w:t>
      </w:r>
      <w:r w:rsidR="00F90FC5">
        <w:rPr>
          <w:iCs/>
        </w:rPr>
        <w:t>prices: f</w:t>
      </w:r>
      <w:r>
        <w:rPr>
          <w:iCs/>
        </w:rPr>
        <w:t xml:space="preserve">oundations of a </w:t>
      </w:r>
      <w:r w:rsidR="00F90FC5">
        <w:rPr>
          <w:iCs/>
        </w:rPr>
        <w:t>t</w:t>
      </w:r>
      <w:r>
        <w:rPr>
          <w:iCs/>
        </w:rPr>
        <w:t xml:space="preserve">heory of </w:t>
      </w:r>
      <w:r w:rsidR="00F90FC5">
        <w:rPr>
          <w:iCs/>
        </w:rPr>
        <w:t>m</w:t>
      </w:r>
      <w:r>
        <w:rPr>
          <w:iCs/>
        </w:rPr>
        <w:t xml:space="preserve">onetary </w:t>
      </w:r>
      <w:r w:rsidR="00F90FC5">
        <w:rPr>
          <w:iCs/>
        </w:rPr>
        <w:t>p</w:t>
      </w:r>
      <w:r>
        <w:rPr>
          <w:iCs/>
        </w:rPr>
        <w:t>olicy</w:t>
      </w:r>
      <w:r w:rsidR="00F90FC5">
        <w:rPr>
          <w:iCs/>
        </w:rPr>
        <w:t>’</w:t>
      </w:r>
      <w:r>
        <w:t xml:space="preserve">. NJ: Princeton University Press. </w:t>
      </w:r>
    </w:p>
    <w:p w:rsidR="0079209C" w:rsidRDefault="0079209C">
      <w:pPr>
        <w:tabs>
          <w:tab w:val="left" w:pos="720"/>
        </w:tabs>
      </w:pPr>
    </w:p>
    <w:p w:rsidR="0079209C" w:rsidRDefault="00F90FC5">
      <w:pPr>
        <w:tabs>
          <w:tab w:val="left" w:pos="720"/>
        </w:tabs>
      </w:pPr>
      <w:r>
        <w:t>Woodford, M.</w:t>
      </w:r>
      <w:r w:rsidR="0079209C">
        <w:t xml:space="preserve"> </w:t>
      </w:r>
      <w:r>
        <w:t>(</w:t>
      </w:r>
      <w:r w:rsidR="0079209C">
        <w:t>2001</w:t>
      </w:r>
      <w:r>
        <w:t>).</w:t>
      </w:r>
      <w:r w:rsidR="0079209C">
        <w:t xml:space="preserve"> </w:t>
      </w:r>
      <w:r>
        <w:t>‘</w:t>
      </w:r>
      <w:r w:rsidR="0079209C">
        <w:t xml:space="preserve">The Taylor </w:t>
      </w:r>
      <w:r>
        <w:t>r</w:t>
      </w:r>
      <w:r w:rsidR="0079209C">
        <w:t xml:space="preserve">ule and </w:t>
      </w:r>
      <w:r>
        <w:t>optimal m</w:t>
      </w:r>
      <w:r w:rsidR="0079209C">
        <w:t xml:space="preserve">onetary </w:t>
      </w:r>
      <w:r>
        <w:t>p</w:t>
      </w:r>
      <w:r w:rsidR="0079209C">
        <w:t>olicy,</w:t>
      </w:r>
      <w:r>
        <w:t xml:space="preserve"> </w:t>
      </w:r>
      <w:r w:rsidR="0079209C" w:rsidRPr="00F90FC5">
        <w:rPr>
          <w:i/>
        </w:rPr>
        <w:t>American Economic Review</w:t>
      </w:r>
      <w:r w:rsidR="0079209C">
        <w:t>, 91(2), 232-237.</w:t>
      </w:r>
    </w:p>
    <w:p w:rsidR="0079209C" w:rsidRDefault="0079209C">
      <w:pPr>
        <w:pStyle w:val="Heading1"/>
      </w:pPr>
    </w:p>
    <w:p w:rsidR="00071DB9" w:rsidRDefault="00071DB9">
      <w:pPr>
        <w:pStyle w:val="Heading1"/>
        <w:spacing w:line="360" w:lineRule="auto"/>
      </w:pPr>
    </w:p>
    <w:p w:rsidR="0079209C" w:rsidRDefault="0079209C">
      <w:pPr>
        <w:pStyle w:val="Heading1"/>
        <w:spacing w:line="360" w:lineRule="auto"/>
      </w:pPr>
      <w:r>
        <w:t>Appendix A</w:t>
      </w:r>
    </w:p>
    <w:p w:rsidR="0079209C" w:rsidRPr="00E31CC2" w:rsidRDefault="0079209C">
      <w:pPr>
        <w:spacing w:line="360" w:lineRule="auto"/>
        <w:rPr>
          <w:bCs/>
        </w:rPr>
      </w:pPr>
      <w:r>
        <w:rPr>
          <w:bCs/>
        </w:rPr>
        <w:t>To derive equations (13) and (14) for the simulation model for a monetary policy rule:</w:t>
      </w:r>
    </w:p>
    <w:p w:rsidR="0079209C" w:rsidRDefault="00877C20" w:rsidP="00E31CC2">
      <w:pPr>
        <w:spacing w:line="360" w:lineRule="auto"/>
        <w:ind w:left="2160" w:firstLine="720"/>
      </w:pPr>
      <w:r w:rsidRPr="00D13F7C">
        <w:rPr>
          <w:position w:val="-30"/>
        </w:rPr>
        <w:object w:dxaOrig="4120" w:dyaOrig="680">
          <v:shape id="_x0000_i1164" type="#_x0000_t75" style="width:206.25pt;height:33.75pt" o:ole="">
            <v:imagedata r:id="rId256" o:title=""/>
          </v:shape>
          <o:OLEObject Type="Embed" ProgID="Equation.3" ShapeID="_x0000_i1164" DrawAspect="Content" ObjectID="_1410345305" r:id="rId257"/>
        </w:object>
      </w:r>
      <w:r w:rsidR="00205CF3">
        <w:rPr>
          <w:b/>
          <w:bCs/>
        </w:rPr>
        <w:t xml:space="preserve">        </w:t>
      </w:r>
      <w:r>
        <w:rPr>
          <w:b/>
          <w:bCs/>
        </w:rPr>
        <w:t xml:space="preserve">      </w:t>
      </w:r>
      <w:r w:rsidR="0079209C">
        <w:t>(A1)</w:t>
      </w:r>
    </w:p>
    <w:p w:rsidR="0079209C" w:rsidRDefault="0079209C">
      <w:pPr>
        <w:spacing w:line="360" w:lineRule="auto"/>
        <w:ind w:left="1440" w:firstLine="720"/>
      </w:pPr>
      <w:r w:rsidRPr="00F7160F">
        <w:rPr>
          <w:position w:val="-32"/>
        </w:rPr>
        <w:object w:dxaOrig="4680" w:dyaOrig="720">
          <v:shape id="_x0000_i1224" type="#_x0000_t75" style="width:234pt;height:36pt" o:ole="">
            <v:imagedata r:id="rId258" o:title=""/>
          </v:shape>
          <o:OLEObject Type="Embed" ProgID="Equation.3" ShapeID="_x0000_i1224" DrawAspect="Content" ObjectID="_1410345306" r:id="rId259"/>
        </w:object>
      </w:r>
      <w:r>
        <w:tab/>
      </w:r>
      <w:r w:rsidR="00205CF3">
        <w:t xml:space="preserve">         </w:t>
      </w:r>
      <w:r>
        <w:t xml:space="preserve"> (A2)</w:t>
      </w:r>
    </w:p>
    <w:p w:rsidR="0079209C" w:rsidRDefault="0079209C">
      <w:pPr>
        <w:spacing w:line="360" w:lineRule="auto"/>
      </w:pPr>
    </w:p>
    <w:p w:rsidR="0079209C" w:rsidRDefault="0079209C">
      <w:pPr>
        <w:spacing w:line="360" w:lineRule="auto"/>
        <w:ind w:left="2160" w:firstLine="720"/>
      </w:pPr>
      <w:r w:rsidRPr="00F7160F">
        <w:rPr>
          <w:position w:val="-12"/>
        </w:rPr>
        <w:object w:dxaOrig="2400" w:dyaOrig="340">
          <v:shape id="_x0000_i1165" type="#_x0000_t75" style="width:120pt;height:17.25pt" o:ole="">
            <v:imagedata r:id="rId260" o:title=""/>
          </v:shape>
          <o:OLEObject Type="Embed" ProgID="Equation.3" ShapeID="_x0000_i1165" DrawAspect="Content" ObjectID="_1410345307" r:id="rId261"/>
        </w:object>
      </w:r>
      <w:r w:rsidR="008E1438">
        <w:fldChar w:fldCharType="begin"/>
      </w:r>
      <w:r>
        <w:instrText xml:space="preserve"> QUOTE </w:instrText>
      </w:r>
      <w:r w:rsidR="00E31CC2" w:rsidRPr="008E1438">
        <w:rPr>
          <w:position w:val="-8"/>
        </w:rPr>
        <w:pict>
          <v:shape id="_x0000_i1166" type="#_x0000_t75" style="width:171pt;height:15pt" equationxml="&lt;">
            <v:imagedata r:id="rId262" o:title="" chromakey="white"/>
          </v:shape>
        </w:pict>
      </w:r>
      <w:r>
        <w:instrText xml:space="preserve"> </w:instrText>
      </w:r>
      <w:r w:rsidR="008E1438">
        <w:fldChar w:fldCharType="end"/>
      </w:r>
      <w:r>
        <w:t xml:space="preserve"> </w:t>
      </w:r>
      <w:r>
        <w:tab/>
      </w:r>
      <w:r>
        <w:tab/>
      </w:r>
      <w:r>
        <w:tab/>
      </w:r>
      <w:r w:rsidR="00205CF3">
        <w:t xml:space="preserve">      </w:t>
      </w:r>
      <w:r>
        <w:t xml:space="preserve">    (A3)</w:t>
      </w:r>
    </w:p>
    <w:p w:rsidR="0079209C" w:rsidRDefault="0079209C">
      <w:pPr>
        <w:spacing w:line="360" w:lineRule="auto"/>
        <w:ind w:left="2160" w:firstLine="720"/>
      </w:pPr>
    </w:p>
    <w:p w:rsidR="0079209C" w:rsidRDefault="0079209C">
      <w:pPr>
        <w:spacing w:line="360" w:lineRule="auto"/>
        <w:ind w:left="2160" w:firstLine="720"/>
      </w:pPr>
      <w:r w:rsidRPr="00F7160F">
        <w:rPr>
          <w:position w:val="-10"/>
        </w:rPr>
        <w:object w:dxaOrig="1400" w:dyaOrig="320">
          <v:shape id="_x0000_i1167" type="#_x0000_t75" style="width:69.75pt;height:15.75pt" o:ole="">
            <v:imagedata r:id="rId263" o:title=""/>
          </v:shape>
          <o:OLEObject Type="Embed" ProgID="Equation.3" ShapeID="_x0000_i1167" DrawAspect="Content" ObjectID="_1410345308" r:id="rId264"/>
        </w:object>
      </w:r>
      <w:r>
        <w:tab/>
      </w:r>
      <w:r>
        <w:tab/>
      </w:r>
      <w:r>
        <w:tab/>
      </w:r>
      <w:r>
        <w:tab/>
      </w:r>
      <w:r>
        <w:tab/>
      </w:r>
      <w:r w:rsidR="00205CF3">
        <w:t xml:space="preserve">      </w:t>
      </w:r>
      <w:r>
        <w:t xml:space="preserve">    (A4)</w:t>
      </w:r>
    </w:p>
    <w:p w:rsidR="0079209C" w:rsidRDefault="00877C20" w:rsidP="00877C20">
      <w:pPr>
        <w:spacing w:line="360" w:lineRule="auto"/>
      </w:pPr>
      <w:r>
        <w:t>Rewriting (A1) gives</w:t>
      </w:r>
      <w:r w:rsidR="00E31CC2">
        <w:t>:</w:t>
      </w:r>
    </w:p>
    <w:p w:rsidR="0079209C" w:rsidRDefault="00877C20" w:rsidP="00877C20">
      <w:pPr>
        <w:spacing w:line="360" w:lineRule="auto"/>
        <w:ind w:left="2160" w:firstLine="720"/>
      </w:pPr>
      <w:r w:rsidRPr="00E96CDB">
        <w:rPr>
          <w:rFonts w:eastAsiaTheme="minorEastAsia"/>
          <w:position w:val="-14"/>
        </w:rPr>
        <w:object w:dxaOrig="4220" w:dyaOrig="420">
          <v:shape id="_x0000_i1168" type="#_x0000_t75" style="width:210.75pt;height:21pt" o:ole="">
            <v:imagedata r:id="rId265" o:title=""/>
          </v:shape>
          <o:OLEObject Type="Embed" ProgID="Equation.3" ShapeID="_x0000_i1168" DrawAspect="Content" ObjectID="_1410345309" r:id="rId266"/>
        </w:object>
      </w:r>
      <w:r w:rsidR="00205CF3">
        <w:t xml:space="preserve">     </w:t>
      </w:r>
      <w:r w:rsidR="0079209C">
        <w:t xml:space="preserve">   </w:t>
      </w:r>
      <w:r>
        <w:t xml:space="preserve">   </w:t>
      </w:r>
      <w:r w:rsidR="0079209C">
        <w:t xml:space="preserve"> (A5)</w:t>
      </w:r>
    </w:p>
    <w:p w:rsidR="0079209C" w:rsidRDefault="0079209C">
      <w:pPr>
        <w:spacing w:line="360" w:lineRule="auto"/>
      </w:pPr>
    </w:p>
    <w:p w:rsidR="0079209C" w:rsidRPr="00C71B3C" w:rsidRDefault="0079209C">
      <w:pPr>
        <w:spacing w:line="360" w:lineRule="auto"/>
      </w:pPr>
      <w:r w:rsidRPr="00C71B3C">
        <w:t>Substituting for r</w:t>
      </w:r>
      <w:r w:rsidRPr="00C71B3C">
        <w:rPr>
          <w:vertAlign w:val="subscript"/>
        </w:rPr>
        <w:t>t-1</w:t>
      </w:r>
      <w:r w:rsidRPr="00C71B3C">
        <w:t xml:space="preserve"> and r</w:t>
      </w:r>
      <w:r w:rsidRPr="00C71B3C">
        <w:rPr>
          <w:vertAlign w:val="subscript"/>
        </w:rPr>
        <w:t xml:space="preserve">t </w:t>
      </w:r>
      <w:r w:rsidRPr="00C71B3C">
        <w:t>from equation (A3) we get:</w:t>
      </w:r>
    </w:p>
    <w:p w:rsidR="0079209C" w:rsidRDefault="0079209C">
      <w:pPr>
        <w:spacing w:line="360" w:lineRule="auto"/>
      </w:pPr>
    </w:p>
    <w:p w:rsidR="00022BCE" w:rsidRDefault="00022BCE" w:rsidP="00022BCE">
      <w:pPr>
        <w:rPr>
          <w:rFonts w:eastAsiaTheme="minorEastAsia"/>
        </w:rPr>
      </w:pPr>
      <w:r w:rsidRPr="00E96CDB">
        <w:rPr>
          <w:rFonts w:eastAsiaTheme="minorEastAsia"/>
          <w:position w:val="-14"/>
        </w:rPr>
        <w:object w:dxaOrig="8580" w:dyaOrig="420">
          <v:shape id="_x0000_i1169" type="#_x0000_t75" style="width:415.5pt;height:20.25pt" o:ole="">
            <v:imagedata r:id="rId267" o:title=""/>
          </v:shape>
          <o:OLEObject Type="Embed" ProgID="Equation.3" ShapeID="_x0000_i1169" DrawAspect="Content" ObjectID="_1410345310" r:id="rId268"/>
        </w:object>
      </w:r>
    </w:p>
    <w:p w:rsidR="00022BCE" w:rsidRDefault="00022BCE" w:rsidP="00022BCE">
      <w:pPr>
        <w:rPr>
          <w:rFonts w:eastAsiaTheme="minorEastAsia"/>
        </w:rPr>
      </w:pPr>
    </w:p>
    <w:p w:rsidR="00022BCE" w:rsidRPr="00DE3DF9" w:rsidRDefault="00022BCE" w:rsidP="00022BCE">
      <w:pPr>
        <w:rPr>
          <w:rFonts w:eastAsiaTheme="minorEastAsia"/>
        </w:rPr>
      </w:pPr>
      <w:r w:rsidRPr="00E96CDB">
        <w:rPr>
          <w:rFonts w:eastAsiaTheme="minorEastAsia"/>
          <w:position w:val="-32"/>
        </w:rPr>
        <w:object w:dxaOrig="8860" w:dyaOrig="760">
          <v:shape id="_x0000_i1170" type="#_x0000_t75" style="width:443.25pt;height:38.25pt" o:ole="">
            <v:imagedata r:id="rId269" o:title=""/>
          </v:shape>
          <o:OLEObject Type="Embed" ProgID="Equation.3" ShapeID="_x0000_i1170" DrawAspect="Content" ObjectID="_1410345311" r:id="rId270"/>
        </w:object>
      </w:r>
    </w:p>
    <w:p w:rsidR="00022BCE" w:rsidRPr="00DE3DF9" w:rsidRDefault="00022BCE" w:rsidP="00022BCE"/>
    <w:p w:rsidR="00022BCE" w:rsidRPr="00DE3DF9" w:rsidRDefault="00022BCE" w:rsidP="00022BCE">
      <w:pPr>
        <w:rPr>
          <w:rFonts w:eastAsiaTheme="minorEastAsia"/>
        </w:rPr>
      </w:pPr>
      <w:r w:rsidRPr="00E06081">
        <w:rPr>
          <w:rFonts w:eastAsiaTheme="minorEastAsia"/>
          <w:position w:val="-32"/>
        </w:rPr>
        <w:object w:dxaOrig="7860" w:dyaOrig="760">
          <v:shape id="_x0000_i1171" type="#_x0000_t75" style="width:393pt;height:38.25pt" o:ole="">
            <v:imagedata r:id="rId271" o:title=""/>
          </v:shape>
          <o:OLEObject Type="Embed" ProgID="Equation.3" ShapeID="_x0000_i1171" DrawAspect="Content" ObjectID="_1410345312" r:id="rId272"/>
        </w:object>
      </w:r>
    </w:p>
    <w:p w:rsidR="00022BCE" w:rsidRPr="00DE3DF9" w:rsidRDefault="00022BCE" w:rsidP="00022BCE">
      <w:pPr>
        <w:rPr>
          <w:rFonts w:eastAsiaTheme="minorEastAsia"/>
        </w:rPr>
      </w:pPr>
    </w:p>
    <w:p w:rsidR="00022BCE" w:rsidRPr="00DE3DF9" w:rsidRDefault="00022BCE" w:rsidP="00022BCE">
      <w:pPr>
        <w:rPr>
          <w:rFonts w:eastAsiaTheme="minorEastAsia"/>
        </w:rPr>
      </w:pPr>
      <w:r w:rsidRPr="00DE3DF9">
        <w:rPr>
          <w:rFonts w:eastAsiaTheme="minorEastAsia"/>
        </w:rPr>
        <w:t xml:space="preserve">From equation </w:t>
      </w:r>
      <w:r w:rsidR="00C71B3C">
        <w:rPr>
          <w:rFonts w:eastAsiaTheme="minorEastAsia"/>
        </w:rPr>
        <w:t>A</w:t>
      </w:r>
      <w:r w:rsidRPr="00DE3DF9">
        <w:rPr>
          <w:rFonts w:eastAsiaTheme="minorEastAsia"/>
        </w:rPr>
        <w:t>2 we have</w:t>
      </w:r>
      <w:r w:rsidR="007651F8">
        <w:rPr>
          <w:rFonts w:eastAsiaTheme="minorEastAsia"/>
        </w:rPr>
        <w:t>:</w:t>
      </w:r>
      <w:r w:rsidRPr="00DE3DF9">
        <w:rPr>
          <w:rFonts w:eastAsiaTheme="minorEastAsia"/>
        </w:rPr>
        <w:t xml:space="preserve"> </w:t>
      </w:r>
    </w:p>
    <w:p w:rsidR="00022BCE" w:rsidRPr="00DE3DF9" w:rsidRDefault="00022BCE" w:rsidP="00022BCE">
      <w:pPr>
        <w:rPr>
          <w:rFonts w:eastAsiaTheme="minorEastAsia"/>
        </w:rPr>
      </w:pPr>
    </w:p>
    <w:p w:rsidR="00022BCE" w:rsidRDefault="00022BCE" w:rsidP="00030ADE">
      <w:pPr>
        <w:ind w:left="1440" w:firstLine="720"/>
        <w:rPr>
          <w:rFonts w:eastAsiaTheme="minorEastAsia"/>
        </w:rPr>
      </w:pPr>
      <w:r w:rsidRPr="00E06081">
        <w:rPr>
          <w:rFonts w:eastAsiaTheme="minorEastAsia"/>
          <w:position w:val="-14"/>
        </w:rPr>
        <w:object w:dxaOrig="4120" w:dyaOrig="380">
          <v:shape id="_x0000_i1172" type="#_x0000_t75" style="width:206.25pt;height:18.75pt" o:ole="">
            <v:imagedata r:id="rId273" o:title=""/>
          </v:shape>
          <o:OLEObject Type="Embed" ProgID="Equation.3" ShapeID="_x0000_i1172" DrawAspect="Content" ObjectID="_1410345313" r:id="rId274"/>
        </w:object>
      </w:r>
    </w:p>
    <w:p w:rsidR="00022BCE" w:rsidRPr="00DE3DF9" w:rsidRDefault="00030ADE" w:rsidP="00022BCE">
      <w:pPr>
        <w:ind w:left="2160"/>
        <w:rPr>
          <w:rFonts w:eastAsiaTheme="minorEastAsia"/>
        </w:rPr>
      </w:pPr>
      <w:r>
        <w:rPr>
          <w:rFonts w:eastAsiaTheme="minorEastAsia"/>
          <w:position w:val="-14"/>
        </w:rPr>
        <w:t xml:space="preserve">        </w:t>
      </w:r>
    </w:p>
    <w:p w:rsidR="00022BCE" w:rsidRPr="00C71B3C" w:rsidRDefault="007651F8" w:rsidP="00022BCE">
      <w:r>
        <w:t xml:space="preserve">Rewriting with </w:t>
      </w:r>
      <w:r>
        <w:sym w:font="Symbol" w:char="F070"/>
      </w:r>
      <w:r>
        <w:rPr>
          <w:vertAlign w:val="subscript"/>
        </w:rPr>
        <w:t>H, t</w:t>
      </w:r>
      <w:r>
        <w:t xml:space="preserve"> on the LHS and s</w:t>
      </w:r>
      <w:r w:rsidR="00C71B3C">
        <w:t xml:space="preserve">ubstituting for </w:t>
      </w:r>
      <w:r w:rsidR="00C71B3C">
        <w:sym w:font="Symbol" w:char="F070"/>
      </w:r>
      <w:r w:rsidR="00C71B3C">
        <w:rPr>
          <w:vertAlign w:val="subscript"/>
        </w:rPr>
        <w:t>H, t</w:t>
      </w:r>
      <w:r>
        <w:t>:</w:t>
      </w:r>
    </w:p>
    <w:p w:rsidR="00022BCE" w:rsidRDefault="00022BCE" w:rsidP="00022BCE">
      <w:pPr>
        <w:ind w:left="720"/>
        <w:rPr>
          <w:rFonts w:eastAsiaTheme="minorEastAsia"/>
        </w:rPr>
      </w:pPr>
    </w:p>
    <w:p w:rsidR="00022BCE" w:rsidRDefault="00022BCE" w:rsidP="00022BCE">
      <w:pPr>
        <w:ind w:left="720"/>
        <w:rPr>
          <w:rFonts w:eastAsiaTheme="minorEastAsia"/>
        </w:rPr>
      </w:pPr>
      <w:r w:rsidRPr="00E06081">
        <w:rPr>
          <w:rFonts w:eastAsiaTheme="minorEastAsia"/>
          <w:position w:val="-34"/>
        </w:rPr>
        <w:object w:dxaOrig="7500" w:dyaOrig="800">
          <v:shape id="_x0000_i1173" type="#_x0000_t75" style="width:375pt;height:39.75pt" o:ole="">
            <v:imagedata r:id="rId275" o:title=""/>
          </v:shape>
          <o:OLEObject Type="Embed" ProgID="Equation.3" ShapeID="_x0000_i1173" DrawAspect="Content" ObjectID="_1410345314" r:id="rId276"/>
        </w:object>
      </w:r>
    </w:p>
    <w:p w:rsidR="00022BCE" w:rsidRDefault="00022BCE" w:rsidP="00022BCE">
      <w:pPr>
        <w:ind w:left="720"/>
        <w:rPr>
          <w:rFonts w:eastAsiaTheme="minorEastAsia"/>
        </w:rPr>
      </w:pPr>
    </w:p>
    <w:p w:rsidR="00022BCE" w:rsidRDefault="00022BCE" w:rsidP="00022BCE">
      <w:pPr>
        <w:ind w:left="720"/>
        <w:rPr>
          <w:rFonts w:eastAsiaTheme="minorEastAsia"/>
        </w:rPr>
      </w:pPr>
    </w:p>
    <w:p w:rsidR="00022BCE" w:rsidRPr="00DE3DF9" w:rsidRDefault="00022BCE" w:rsidP="00022BCE">
      <w:pPr>
        <w:ind w:left="720"/>
        <w:rPr>
          <w:rFonts w:eastAsiaTheme="minorEastAsia"/>
        </w:rPr>
      </w:pPr>
      <w:r w:rsidRPr="00E06081">
        <w:rPr>
          <w:rFonts w:eastAsiaTheme="minorEastAsia"/>
          <w:position w:val="-34"/>
        </w:rPr>
        <w:object w:dxaOrig="7500" w:dyaOrig="800">
          <v:shape id="_x0000_i1174" type="#_x0000_t75" style="width:375pt;height:39.75pt" o:ole="">
            <v:imagedata r:id="rId277" o:title=""/>
          </v:shape>
          <o:OLEObject Type="Embed" ProgID="Equation.3" ShapeID="_x0000_i1174" DrawAspect="Content" ObjectID="_1410345315" r:id="rId278"/>
        </w:object>
      </w:r>
    </w:p>
    <w:p w:rsidR="00022BCE" w:rsidRPr="00DE3DF9" w:rsidRDefault="00022BCE" w:rsidP="00022BCE"/>
    <w:p w:rsidR="00022BCE" w:rsidRDefault="00022BCE" w:rsidP="00022BCE"/>
    <w:p w:rsidR="00022BCE" w:rsidRPr="00DE3DF9" w:rsidRDefault="00022BCE" w:rsidP="00022BCE">
      <w:r w:rsidRPr="00B81308">
        <w:rPr>
          <w:position w:val="-34"/>
        </w:rPr>
        <w:object w:dxaOrig="8120" w:dyaOrig="800">
          <v:shape id="_x0000_i1175" type="#_x0000_t75" style="width:405.75pt;height:39.75pt" o:ole="">
            <v:imagedata r:id="rId279" o:title=""/>
          </v:shape>
          <o:OLEObject Type="Embed" ProgID="Equation.3" ShapeID="_x0000_i1175" DrawAspect="Content" ObjectID="_1410345316" r:id="rId280"/>
        </w:object>
      </w:r>
    </w:p>
    <w:p w:rsidR="00022BCE" w:rsidRDefault="00022BCE">
      <w:pPr>
        <w:spacing w:line="360" w:lineRule="auto"/>
      </w:pPr>
    </w:p>
    <w:p w:rsidR="00030ADE" w:rsidRDefault="00030ADE">
      <w:pPr>
        <w:spacing w:line="360" w:lineRule="auto"/>
      </w:pPr>
      <w:r>
        <w:t xml:space="preserve">Let, </w:t>
      </w:r>
      <w:r>
        <w:tab/>
      </w:r>
      <w:r>
        <w:tab/>
      </w:r>
      <w:r>
        <w:tab/>
      </w:r>
      <w:r w:rsidR="00F87193">
        <w:tab/>
      </w:r>
      <w:r w:rsidR="0011660C" w:rsidRPr="00030ADE">
        <w:rPr>
          <w:position w:val="-30"/>
        </w:rPr>
        <w:object w:dxaOrig="3480" w:dyaOrig="680">
          <v:shape id="_x0000_i1176" type="#_x0000_t75" style="width:174pt;height:33.75pt" o:ole="">
            <v:imagedata r:id="rId281" o:title=""/>
          </v:shape>
          <o:OLEObject Type="Embed" ProgID="Equation.3" ShapeID="_x0000_i1176" DrawAspect="Content" ObjectID="_1410345317" r:id="rId282"/>
        </w:object>
      </w:r>
    </w:p>
    <w:p w:rsidR="0011660C" w:rsidRDefault="0011660C">
      <w:pPr>
        <w:spacing w:line="360" w:lineRule="auto"/>
      </w:pPr>
    </w:p>
    <w:p w:rsidR="0011660C" w:rsidRDefault="0011660C" w:rsidP="0011660C">
      <w:pPr>
        <w:spacing w:line="360" w:lineRule="auto"/>
        <w:ind w:firstLine="720"/>
      </w:pPr>
      <w:r w:rsidRPr="0011660C">
        <w:rPr>
          <w:position w:val="-34"/>
        </w:rPr>
        <w:object w:dxaOrig="7860" w:dyaOrig="800">
          <v:shape id="_x0000_i1177" type="#_x0000_t75" style="width:393pt;height:39.75pt" o:ole="">
            <v:imagedata r:id="rId283" o:title=""/>
          </v:shape>
          <o:OLEObject Type="Embed" ProgID="Equation.3" ShapeID="_x0000_i1177" DrawAspect="Content" ObjectID="_1410345318" r:id="rId284"/>
        </w:object>
      </w:r>
    </w:p>
    <w:p w:rsidR="0079209C" w:rsidRDefault="0011660C">
      <w:pPr>
        <w:spacing w:line="360" w:lineRule="auto"/>
      </w:pPr>
      <w:r>
        <w:t>Taking expectations on both sides g</w:t>
      </w:r>
      <w:r w:rsidR="0079209C">
        <w:t>ives equation (13) in the text.</w:t>
      </w:r>
    </w:p>
    <w:p w:rsidR="0079209C" w:rsidRDefault="0079209C">
      <w:pPr>
        <w:spacing w:line="360" w:lineRule="auto"/>
      </w:pPr>
    </w:p>
    <w:p w:rsidR="0079209C" w:rsidRDefault="0079209C">
      <w:pPr>
        <w:spacing w:line="360" w:lineRule="auto"/>
      </w:pPr>
      <w:r>
        <w:t>To solve for the AS equation, substitute equation (A6) in the equation given below:</w:t>
      </w:r>
    </w:p>
    <w:p w:rsidR="0079209C" w:rsidRDefault="0079209C">
      <w:pPr>
        <w:spacing w:line="360" w:lineRule="auto"/>
      </w:pPr>
    </w:p>
    <w:p w:rsidR="0079209C" w:rsidRDefault="00AF4731" w:rsidP="00205CF3">
      <w:pPr>
        <w:spacing w:line="360" w:lineRule="auto"/>
        <w:ind w:left="1440" w:firstLine="720"/>
      </w:pPr>
      <w:r w:rsidRPr="00F7160F">
        <w:rPr>
          <w:position w:val="-14"/>
        </w:rPr>
        <w:object w:dxaOrig="4020" w:dyaOrig="380">
          <v:shape id="_x0000_i1178" type="#_x0000_t75" style="width:201pt;height:18.75pt" o:ole="">
            <v:imagedata r:id="rId285" o:title=""/>
          </v:shape>
          <o:OLEObject Type="Embed" ProgID="Equation.3" ShapeID="_x0000_i1178" DrawAspect="Content" ObjectID="_1410345319" r:id="rId286"/>
        </w:object>
      </w:r>
    </w:p>
    <w:p w:rsidR="0079209C" w:rsidRDefault="0079209C">
      <w:pPr>
        <w:spacing w:line="360" w:lineRule="auto"/>
        <w:rPr>
          <w:b/>
          <w:bCs/>
        </w:rPr>
      </w:pPr>
    </w:p>
    <w:p w:rsidR="00AF3B28" w:rsidRDefault="00AF3B28" w:rsidP="00AF3B28">
      <w:r w:rsidRPr="00326D89">
        <w:rPr>
          <w:position w:val="-34"/>
        </w:rPr>
        <w:object w:dxaOrig="8820" w:dyaOrig="800">
          <v:shape id="_x0000_i1179" type="#_x0000_t75" style="width:415.5pt;height:37.5pt" o:ole="">
            <v:imagedata r:id="rId287" o:title=""/>
          </v:shape>
          <o:OLEObject Type="Embed" ProgID="Equation.3" ShapeID="_x0000_i1179" DrawAspect="Content" ObjectID="_1410345320" r:id="rId288"/>
        </w:object>
      </w:r>
    </w:p>
    <w:p w:rsidR="00AF3B28" w:rsidRDefault="00AF3B28" w:rsidP="00AF3B28"/>
    <w:p w:rsidR="00AF3B28" w:rsidRPr="00DE3DF9" w:rsidRDefault="00AF3B28" w:rsidP="00AF3B28"/>
    <w:p w:rsidR="00AF3B28" w:rsidRPr="00DE3DF9" w:rsidRDefault="00CF50E6" w:rsidP="00AF3B28">
      <w:pPr>
        <w:rPr>
          <w:rFonts w:eastAsiaTheme="minorEastAsia"/>
        </w:rPr>
      </w:pPr>
      <w:r w:rsidRPr="00326D89">
        <w:rPr>
          <w:rFonts w:eastAsiaTheme="minorEastAsia"/>
          <w:position w:val="-54"/>
        </w:rPr>
        <w:object w:dxaOrig="8700" w:dyaOrig="1219">
          <v:shape id="_x0000_i1180" type="#_x0000_t75" style="width:435pt;height:60.75pt" o:ole="">
            <v:imagedata r:id="rId289" o:title=""/>
          </v:shape>
          <o:OLEObject Type="Embed" ProgID="Equation.3" ShapeID="_x0000_i1180" DrawAspect="Content" ObjectID="_1410345321" r:id="rId290"/>
        </w:object>
      </w:r>
    </w:p>
    <w:p w:rsidR="0079209C" w:rsidRDefault="008E1438">
      <w:pPr>
        <w:spacing w:line="360" w:lineRule="auto"/>
        <w:rPr>
          <w:bCs/>
        </w:rPr>
      </w:pPr>
      <w:r>
        <w:rPr>
          <w:b/>
          <w:bCs/>
        </w:rPr>
        <w:fldChar w:fldCharType="begin"/>
      </w:r>
      <w:r w:rsidR="0079209C">
        <w:rPr>
          <w:b/>
          <w:bCs/>
        </w:rPr>
        <w:instrText xml:space="preserve"> QUOTE </w:instrText>
      </w:r>
      <w:r w:rsidR="00E31CC2" w:rsidRPr="008E1438">
        <w:rPr>
          <w:b/>
          <w:bCs/>
        </w:rPr>
        <w:pict>
          <v:shape id="_x0000_i1181" type="#_x0000_t75" style="width:6in;height:57pt" equationxml="&lt;">
            <v:imagedata r:id="rId291" o:title="" chromakey="white"/>
          </v:shape>
        </w:pict>
      </w:r>
      <w:r w:rsidR="0079209C">
        <w:rPr>
          <w:b/>
          <w:bCs/>
        </w:rPr>
        <w:instrText xml:space="preserve"> </w:instrText>
      </w:r>
      <w:r>
        <w:rPr>
          <w:b/>
          <w:bCs/>
        </w:rPr>
        <w:fldChar w:fldCharType="end"/>
      </w:r>
      <w:r w:rsidR="0079209C">
        <w:rPr>
          <w:bCs/>
        </w:rPr>
        <w:t>Taking expectation on both sides gives equation (14).</w:t>
      </w:r>
    </w:p>
    <w:p w:rsidR="0079209C" w:rsidRDefault="0079209C">
      <w:pPr>
        <w:spacing w:line="360" w:lineRule="auto"/>
        <w:rPr>
          <w:b/>
          <w:bCs/>
        </w:rPr>
      </w:pPr>
    </w:p>
    <w:p w:rsidR="0079209C" w:rsidRDefault="0079209C">
      <w:pPr>
        <w:spacing w:line="360" w:lineRule="auto"/>
        <w:rPr>
          <w:b/>
          <w:bCs/>
        </w:rPr>
      </w:pPr>
      <w:r>
        <w:rPr>
          <w:b/>
          <w:bCs/>
        </w:rPr>
        <w:t>Appendix B</w:t>
      </w:r>
    </w:p>
    <w:p w:rsidR="0079209C" w:rsidRDefault="0079209C">
      <w:pPr>
        <w:spacing w:line="360" w:lineRule="auto"/>
      </w:pPr>
      <w:r>
        <w:t>To derive the response to monetary shocks in the simulation model with a monetary policy rule:</w:t>
      </w:r>
    </w:p>
    <w:p w:rsidR="0079209C" w:rsidRDefault="0079209C">
      <w:pPr>
        <w:spacing w:line="360" w:lineRule="auto"/>
      </w:pPr>
    </w:p>
    <w:p w:rsidR="0079209C" w:rsidRDefault="0079209C">
      <w:pPr>
        <w:spacing w:line="360" w:lineRule="auto"/>
      </w:pPr>
      <w:r>
        <w:t xml:space="preserve">Assuming </w:t>
      </w:r>
      <w:r w:rsidRPr="00F7160F">
        <w:rPr>
          <w:position w:val="-6"/>
        </w:rPr>
        <w:object w:dxaOrig="740" w:dyaOrig="340">
          <v:shape id="_x0000_i1182" type="#_x0000_t75" style="width:36.75pt;height:17.25pt" o:ole="">
            <v:imagedata r:id="rId292" o:title=""/>
          </v:shape>
          <o:OLEObject Type="Embed" ProgID="Equation.3" ShapeID="_x0000_i1182" DrawAspect="Content" ObjectID="_1410345322" r:id="rId293"/>
        </w:object>
      </w:r>
      <w:r>
        <w:t>and guessing that the solution will take form:</w:t>
      </w:r>
    </w:p>
    <w:p w:rsidR="00205CF3" w:rsidRDefault="00AF4731" w:rsidP="00E31CC2">
      <w:pPr>
        <w:spacing w:line="360" w:lineRule="auto"/>
        <w:ind w:left="2160" w:firstLine="720"/>
      </w:pPr>
      <w:r w:rsidRPr="00AF4731">
        <w:rPr>
          <w:position w:val="-32"/>
        </w:rPr>
        <w:object w:dxaOrig="2120" w:dyaOrig="760">
          <v:shape id="_x0000_i1183" type="#_x0000_t75" style="width:105.75pt;height:38.25pt" o:ole="">
            <v:imagedata r:id="rId294" o:title=""/>
          </v:shape>
          <o:OLEObject Type="Embed" ProgID="Equation.3" ShapeID="_x0000_i1183" DrawAspect="Content" ObjectID="_1410345323" r:id="rId295"/>
        </w:object>
      </w:r>
      <w:r w:rsidR="0079209C">
        <w:tab/>
      </w:r>
      <w:r w:rsidR="0079209C">
        <w:tab/>
      </w:r>
      <w:r w:rsidR="0079209C">
        <w:tab/>
      </w:r>
      <w:r w:rsidR="0079209C">
        <w:tab/>
      </w:r>
      <w:r w:rsidR="00205CF3">
        <w:t xml:space="preserve">       </w:t>
      </w:r>
      <w:r w:rsidR="0079209C">
        <w:t xml:space="preserve">    (</w:t>
      </w:r>
      <w:r w:rsidR="0011660C">
        <w:t>B</w:t>
      </w:r>
      <w:r w:rsidR="0079209C">
        <w:t>1)</w:t>
      </w:r>
    </w:p>
    <w:p w:rsidR="0079209C" w:rsidRDefault="008E1438">
      <w:pPr>
        <w:spacing w:line="360" w:lineRule="auto"/>
      </w:pPr>
      <w:r>
        <w:fldChar w:fldCharType="begin"/>
      </w:r>
      <w:r w:rsidR="0079209C">
        <w:instrText xml:space="preserve"> QUOTE </w:instrText>
      </w:r>
      <w:r w:rsidR="00E31CC2" w:rsidRPr="008E1438">
        <w:rPr>
          <w:position w:val="-6"/>
        </w:rPr>
        <w:pict>
          <v:shape id="_x0000_i1184" type="#_x0000_t75" style="width:120pt;height:14.25pt" equationxml="&lt;">
            <v:imagedata r:id="rId296" o:title="" chromakey="white"/>
          </v:shape>
        </w:pict>
      </w:r>
      <w:r w:rsidR="0079209C">
        <w:instrText xml:space="preserve"> </w:instrText>
      </w:r>
      <w:r>
        <w:fldChar w:fldCharType="end"/>
      </w:r>
      <w:r w:rsidR="0079209C">
        <w:t>Imposing the guessed solution on equation (13) and (14) and using the method of undetermined coefficients, we can solve for the Ψs. Write the AS equation (3) as:</w:t>
      </w:r>
    </w:p>
    <w:p w:rsidR="0079209C" w:rsidRDefault="001A3799" w:rsidP="00E31CC2">
      <w:pPr>
        <w:spacing w:line="360" w:lineRule="auto"/>
        <w:ind w:left="1440" w:firstLine="720"/>
      </w:pPr>
      <w:r w:rsidRPr="001A3799">
        <w:rPr>
          <w:position w:val="-32"/>
        </w:rPr>
        <w:object w:dxaOrig="4680" w:dyaOrig="720">
          <v:shape id="_x0000_i1185" type="#_x0000_t75" style="width:234pt;height:36pt" o:ole="">
            <v:imagedata r:id="rId297" o:title=""/>
          </v:shape>
          <o:OLEObject Type="Embed" ProgID="Equation.3" ShapeID="_x0000_i1185" DrawAspect="Content" ObjectID="_1410345324" r:id="rId298"/>
        </w:object>
      </w:r>
      <w:r w:rsidR="0079209C">
        <w:tab/>
      </w:r>
      <w:r w:rsidR="00205CF3">
        <w:t xml:space="preserve">          </w:t>
      </w:r>
      <w:r w:rsidR="0011660C">
        <w:t xml:space="preserve"> (B</w:t>
      </w:r>
      <w:r w:rsidR="0079209C">
        <w:t>2)</w:t>
      </w:r>
    </w:p>
    <w:p w:rsidR="0079209C" w:rsidRPr="0011660C" w:rsidRDefault="00CF50E6">
      <w:pPr>
        <w:spacing w:line="360" w:lineRule="auto"/>
      </w:pPr>
      <w:r w:rsidRPr="0011660C">
        <w:t xml:space="preserve">Substituting for </w:t>
      </w:r>
      <w:r w:rsidRPr="0011660C">
        <w:sym w:font="Symbol" w:char="F067"/>
      </w:r>
      <w:r w:rsidRPr="0011660C">
        <w:rPr>
          <w:vertAlign w:val="subscript"/>
        </w:rPr>
        <w:t xml:space="preserve">f </w:t>
      </w:r>
      <w:r w:rsidRPr="0011660C">
        <w:sym w:font="Symbol" w:char="F062"/>
      </w:r>
      <w:r w:rsidRPr="0011660C">
        <w:sym w:font="Symbol" w:char="F070"/>
      </w:r>
      <w:r w:rsidRPr="0011660C">
        <w:rPr>
          <w:vertAlign w:val="subscript"/>
        </w:rPr>
        <w:t>H, t+1</w:t>
      </w:r>
      <w:r w:rsidRPr="0011660C">
        <w:t xml:space="preserve"> from</w:t>
      </w:r>
      <w:r w:rsidR="0079209C" w:rsidRPr="0011660C">
        <w:t xml:space="preserve"> </w:t>
      </w:r>
      <w:r w:rsidR="0011660C">
        <w:t>B</w:t>
      </w:r>
      <w:r w:rsidR="0079209C" w:rsidRPr="0011660C">
        <w:t>2 we have:</w:t>
      </w:r>
    </w:p>
    <w:p w:rsidR="003F0160" w:rsidRDefault="003F0160" w:rsidP="003F0160">
      <w:pPr>
        <w:ind w:left="720" w:firstLine="720"/>
        <w:rPr>
          <w:rFonts w:eastAsiaTheme="minorEastAsia"/>
        </w:rPr>
      </w:pPr>
      <w:r w:rsidRPr="00DE7ED7">
        <w:rPr>
          <w:rFonts w:eastAsiaTheme="minorEastAsia"/>
          <w:position w:val="-30"/>
        </w:rPr>
        <w:object w:dxaOrig="5539" w:dyaOrig="720">
          <v:shape id="_x0000_i1186" type="#_x0000_t75" style="width:276.75pt;height:36pt" o:ole="">
            <v:imagedata r:id="rId299" o:title=""/>
          </v:shape>
          <o:OLEObject Type="Embed" ProgID="Equation.3" ShapeID="_x0000_i1186" DrawAspect="Content" ObjectID="_1410345325" r:id="rId300"/>
        </w:object>
      </w:r>
    </w:p>
    <w:p w:rsidR="003F0160" w:rsidRDefault="003F0160" w:rsidP="003F0160">
      <w:pPr>
        <w:rPr>
          <w:rFonts w:eastAsiaTheme="minorEastAsia"/>
        </w:rPr>
      </w:pPr>
    </w:p>
    <w:p w:rsidR="003F0160" w:rsidRDefault="003F0160" w:rsidP="003F0160">
      <w:pPr>
        <w:rPr>
          <w:rFonts w:eastAsiaTheme="minorEastAsia"/>
        </w:rPr>
      </w:pPr>
      <w:r>
        <w:rPr>
          <w:rFonts w:eastAsiaTheme="minorEastAsia"/>
        </w:rPr>
        <w:t>and,</w:t>
      </w:r>
    </w:p>
    <w:p w:rsidR="003F0160" w:rsidRPr="00DE3DF9" w:rsidRDefault="003F0160" w:rsidP="003F0160">
      <w:pPr>
        <w:ind w:left="720" w:firstLine="720"/>
        <w:rPr>
          <w:rFonts w:eastAsiaTheme="minorEastAsia"/>
        </w:rPr>
      </w:pPr>
      <w:r w:rsidRPr="00DE7ED7">
        <w:rPr>
          <w:rFonts w:eastAsiaTheme="minorEastAsia"/>
          <w:position w:val="-30"/>
        </w:rPr>
        <w:object w:dxaOrig="5720" w:dyaOrig="720">
          <v:shape id="_x0000_i1187" type="#_x0000_t75" style="width:285.75pt;height:36pt" o:ole="">
            <v:imagedata r:id="rId301" o:title=""/>
          </v:shape>
          <o:OLEObject Type="Embed" ProgID="Equation.3" ShapeID="_x0000_i1187" DrawAspect="Content" ObjectID="_1410345326" r:id="rId302"/>
        </w:object>
      </w:r>
    </w:p>
    <w:p w:rsidR="005D15D3" w:rsidRDefault="005D15D3" w:rsidP="003F0160">
      <w:pPr>
        <w:rPr>
          <w:rFonts w:eastAsiaTheme="minorEastAsia"/>
        </w:rPr>
      </w:pPr>
    </w:p>
    <w:p w:rsidR="003F0160" w:rsidRDefault="005D15D3" w:rsidP="003F0160">
      <w:pPr>
        <w:rPr>
          <w:rFonts w:eastAsiaTheme="minorEastAsia"/>
        </w:rPr>
      </w:pPr>
      <w:r>
        <w:rPr>
          <w:rFonts w:eastAsiaTheme="minorEastAsia"/>
        </w:rPr>
        <w:t>Therefore,</w:t>
      </w:r>
    </w:p>
    <w:p w:rsidR="003F0160" w:rsidRPr="00DE3DF9" w:rsidRDefault="003F0160" w:rsidP="003F0160">
      <w:pPr>
        <w:ind w:left="1440"/>
        <w:rPr>
          <w:rFonts w:eastAsiaTheme="minorEastAsia"/>
        </w:rPr>
      </w:pPr>
      <w:r w:rsidRPr="00DE7ED7">
        <w:rPr>
          <w:rFonts w:eastAsiaTheme="minorEastAsia"/>
          <w:position w:val="-30"/>
        </w:rPr>
        <w:object w:dxaOrig="6399" w:dyaOrig="720">
          <v:shape id="_x0000_i1188" type="#_x0000_t75" style="width:320.25pt;height:36pt" o:ole="">
            <v:imagedata r:id="rId303" o:title=""/>
          </v:shape>
          <o:OLEObject Type="Embed" ProgID="Equation.3" ShapeID="_x0000_i1188" DrawAspect="Content" ObjectID="_1410345327" r:id="rId304"/>
        </w:object>
      </w:r>
    </w:p>
    <w:p w:rsidR="005D15D3" w:rsidRDefault="005D15D3" w:rsidP="005D15D3">
      <w:pPr>
        <w:spacing w:line="360" w:lineRule="auto"/>
      </w:pPr>
    </w:p>
    <w:p w:rsidR="00BE0C84" w:rsidRDefault="001C5ABA" w:rsidP="005D15D3">
      <w:r>
        <w:t>a</w:t>
      </w:r>
      <w:r w:rsidR="005D15D3">
        <w:t xml:space="preserve">nd, </w:t>
      </w:r>
      <w:r w:rsidR="005D15D3">
        <w:tab/>
      </w:r>
      <w:r w:rsidR="005D15D3">
        <w:tab/>
      </w:r>
      <w:r w:rsidR="005D15D3">
        <w:tab/>
      </w:r>
    </w:p>
    <w:p w:rsidR="005D15D3" w:rsidRDefault="005D15D3" w:rsidP="00BE0C84">
      <w:pPr>
        <w:ind w:left="1440" w:firstLine="720"/>
        <w:rPr>
          <w:rFonts w:eastAsiaTheme="minorEastAsia"/>
        </w:rPr>
      </w:pPr>
      <w:r w:rsidRPr="00796BA9">
        <w:rPr>
          <w:position w:val="-30"/>
        </w:rPr>
        <w:object w:dxaOrig="5500" w:dyaOrig="720">
          <v:shape id="_x0000_i1189" type="#_x0000_t75" style="width:275.25pt;height:36pt" o:ole="">
            <v:imagedata r:id="rId305" o:title=""/>
          </v:shape>
          <o:OLEObject Type="Embed" ProgID="Equation.3" ShapeID="_x0000_i1189" DrawAspect="Content" ObjectID="_1410345328" r:id="rId306"/>
        </w:object>
      </w:r>
    </w:p>
    <w:p w:rsidR="005D15D3" w:rsidRDefault="005D15D3" w:rsidP="005D15D3">
      <w:pPr>
        <w:spacing w:line="360" w:lineRule="auto"/>
      </w:pPr>
    </w:p>
    <w:p w:rsidR="003F0160" w:rsidRPr="00BE0C84" w:rsidRDefault="005D15D3" w:rsidP="00BE0C84">
      <w:pPr>
        <w:spacing w:line="360" w:lineRule="auto"/>
      </w:pPr>
      <w:r w:rsidRPr="005D15D3">
        <w:lastRenderedPageBreak/>
        <w:t>By substituting these values of x</w:t>
      </w:r>
      <w:r w:rsidRPr="005D15D3">
        <w:rPr>
          <w:vertAlign w:val="subscript"/>
        </w:rPr>
        <w:t xml:space="preserve">t </w:t>
      </w:r>
      <w:r w:rsidRPr="005D15D3">
        <w:t>, x</w:t>
      </w:r>
      <w:r w:rsidRPr="005D15D3">
        <w:rPr>
          <w:vertAlign w:val="subscript"/>
        </w:rPr>
        <w:t xml:space="preserve">t-1,  </w:t>
      </w:r>
      <w:r w:rsidRPr="005D15D3">
        <w:t>and x</w:t>
      </w:r>
      <w:r w:rsidRPr="005D15D3">
        <w:rPr>
          <w:vertAlign w:val="subscript"/>
        </w:rPr>
        <w:t>t+1</w:t>
      </w:r>
      <w:r w:rsidRPr="005D15D3">
        <w:t xml:space="preserve"> in equation 13, we get:</w:t>
      </w:r>
    </w:p>
    <w:p w:rsidR="003F0160" w:rsidRPr="00DE3DF9" w:rsidRDefault="003F0160" w:rsidP="003F0160">
      <w:pPr>
        <w:rPr>
          <w:rFonts w:eastAsiaTheme="minorEastAsia"/>
        </w:rPr>
      </w:pPr>
      <w:r w:rsidRPr="00B03E3A">
        <w:rPr>
          <w:rFonts w:eastAsiaTheme="minorEastAsia"/>
          <w:position w:val="-110"/>
        </w:rPr>
        <w:object w:dxaOrig="9600" w:dyaOrig="2320">
          <v:shape id="_x0000_i1190" type="#_x0000_t75" style="width:480pt;height:116.25pt" o:ole="">
            <v:imagedata r:id="rId307" o:title=""/>
          </v:shape>
          <o:OLEObject Type="Embed" ProgID="Equation.3" ShapeID="_x0000_i1190" DrawAspect="Content" ObjectID="_1410345329" r:id="rId308"/>
        </w:object>
      </w:r>
    </w:p>
    <w:p w:rsidR="00BE0C84" w:rsidRDefault="00BE0C84" w:rsidP="003F0160">
      <w:pPr>
        <w:rPr>
          <w:rFonts w:eastAsiaTheme="minorEastAsia"/>
        </w:rPr>
      </w:pPr>
    </w:p>
    <w:p w:rsidR="003F0160" w:rsidRPr="00DE3DF9" w:rsidRDefault="003F0160" w:rsidP="003F0160">
      <w:pPr>
        <w:rPr>
          <w:rFonts w:eastAsiaTheme="minorEastAsia"/>
        </w:rPr>
      </w:pPr>
      <w:r>
        <w:rPr>
          <w:rFonts w:eastAsiaTheme="minorEastAsia"/>
        </w:rPr>
        <w:t>Collecting terms</w:t>
      </w:r>
      <w:r w:rsidRPr="00DE3DF9">
        <w:rPr>
          <w:rFonts w:eastAsiaTheme="minorEastAsia"/>
        </w:rPr>
        <w:t>,</w:t>
      </w:r>
    </w:p>
    <w:p w:rsidR="003F0160" w:rsidRDefault="003F0160" w:rsidP="003F0160">
      <w:pPr>
        <w:rPr>
          <w:rFonts w:eastAsiaTheme="minorEastAsia"/>
        </w:rPr>
      </w:pPr>
      <w:r w:rsidRPr="00B03E3A">
        <w:rPr>
          <w:rFonts w:eastAsiaTheme="minorEastAsia"/>
          <w:position w:val="-104"/>
        </w:rPr>
        <w:object w:dxaOrig="9560" w:dyaOrig="2260">
          <v:shape id="_x0000_i1191" type="#_x0000_t75" style="width:465.75pt;height:110.25pt" o:ole="">
            <v:imagedata r:id="rId309" o:title=""/>
          </v:shape>
          <o:OLEObject Type="Embed" ProgID="Equation.3" ShapeID="_x0000_i1191" DrawAspect="Content" ObjectID="_1410345330" r:id="rId310"/>
        </w:object>
      </w:r>
    </w:p>
    <w:p w:rsidR="003F0160" w:rsidRPr="00DE3DF9" w:rsidRDefault="003F0160" w:rsidP="003F0160">
      <w:pPr>
        <w:rPr>
          <w:rFonts w:eastAsiaTheme="minorEastAsia"/>
        </w:rPr>
      </w:pPr>
    </w:p>
    <w:p w:rsidR="003F0160" w:rsidRPr="00DE3DF9" w:rsidRDefault="003F0160" w:rsidP="003F0160">
      <w:pPr>
        <w:rPr>
          <w:rFonts w:eastAsiaTheme="minorEastAsia"/>
        </w:rPr>
      </w:pPr>
      <w:r w:rsidRPr="00DE3DF9">
        <w:rPr>
          <w:rFonts w:eastAsiaTheme="minorEastAsia"/>
        </w:rPr>
        <w:t>Or,</w:t>
      </w:r>
    </w:p>
    <w:p w:rsidR="003F0160" w:rsidRPr="00DE3DF9" w:rsidRDefault="003F0160" w:rsidP="003F0160">
      <w:pPr>
        <w:rPr>
          <w:rFonts w:eastAsiaTheme="minorEastAsia"/>
        </w:rPr>
      </w:pPr>
      <w:r w:rsidRPr="00271E41">
        <w:rPr>
          <w:rFonts w:eastAsiaTheme="minorEastAsia"/>
          <w:position w:val="-104"/>
        </w:rPr>
        <w:object w:dxaOrig="8180" w:dyaOrig="2260">
          <v:shape id="_x0000_i1192" type="#_x0000_t75" style="width:408.75pt;height:113.25pt" o:ole="">
            <v:imagedata r:id="rId311" o:title=""/>
          </v:shape>
          <o:OLEObject Type="Embed" ProgID="Equation.3" ShapeID="_x0000_i1192" DrawAspect="Content" ObjectID="_1410345331" r:id="rId312"/>
        </w:object>
      </w:r>
    </w:p>
    <w:p w:rsidR="003F0160" w:rsidRDefault="003F0160" w:rsidP="003F0160">
      <w:pPr>
        <w:rPr>
          <w:rFonts w:eastAsiaTheme="minorEastAsia"/>
        </w:rPr>
      </w:pPr>
    </w:p>
    <w:p w:rsidR="003F0160" w:rsidRPr="00DE3DF9" w:rsidRDefault="00BE0C84" w:rsidP="003F0160">
      <w:pPr>
        <w:rPr>
          <w:rFonts w:eastAsiaTheme="minorEastAsia"/>
        </w:rPr>
      </w:pPr>
      <w:r>
        <w:rPr>
          <w:rFonts w:eastAsiaTheme="minorEastAsia"/>
        </w:rPr>
        <w:t>From B1,</w:t>
      </w:r>
    </w:p>
    <w:p w:rsidR="003F0160" w:rsidRPr="00DE3DF9" w:rsidRDefault="003F0160" w:rsidP="003F0160">
      <w:pPr>
        <w:ind w:left="2880" w:firstLine="720"/>
        <w:rPr>
          <w:rFonts w:eastAsiaTheme="minorEastAsia"/>
        </w:rPr>
      </w:pPr>
      <w:r w:rsidRPr="006E0FC5">
        <w:rPr>
          <w:rFonts w:eastAsiaTheme="minorEastAsia"/>
          <w:position w:val="-14"/>
        </w:rPr>
        <w:object w:dxaOrig="2140" w:dyaOrig="380">
          <v:shape id="_x0000_i1193" type="#_x0000_t75" style="width:107.25pt;height:18.75pt" o:ole="">
            <v:imagedata r:id="rId313" o:title=""/>
          </v:shape>
          <o:OLEObject Type="Embed" ProgID="Equation.3" ShapeID="_x0000_i1193" DrawAspect="Content" ObjectID="_1410345332" r:id="rId314"/>
        </w:object>
      </w:r>
    </w:p>
    <w:p w:rsidR="003F0160" w:rsidRPr="00DE3DF9" w:rsidRDefault="003F0160" w:rsidP="003F0160">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E0FC5">
        <w:rPr>
          <w:rFonts w:eastAsiaTheme="minorEastAsia"/>
          <w:position w:val="-14"/>
        </w:rPr>
        <w:object w:dxaOrig="2280" w:dyaOrig="380">
          <v:shape id="_x0000_i1194" type="#_x0000_t75" style="width:114pt;height:18.75pt" o:ole="">
            <v:imagedata r:id="rId315" o:title=""/>
          </v:shape>
          <o:OLEObject Type="Embed" ProgID="Equation.3" ShapeID="_x0000_i1194" DrawAspect="Content" ObjectID="_1410345333" r:id="rId316"/>
        </w:object>
      </w:r>
    </w:p>
    <w:p w:rsidR="003F0160" w:rsidRPr="00DE3DF9" w:rsidRDefault="003F0160" w:rsidP="003F0160">
      <w:pPr>
        <w:rPr>
          <w:rFonts w:eastAsiaTheme="minorEastAsia"/>
        </w:rPr>
      </w:pPr>
    </w:p>
    <w:p w:rsidR="003F0160" w:rsidRDefault="003F0160" w:rsidP="003F0160">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E0FC5">
        <w:rPr>
          <w:rFonts w:eastAsiaTheme="minorEastAsia"/>
          <w:position w:val="-14"/>
        </w:rPr>
        <w:object w:dxaOrig="2560" w:dyaOrig="380">
          <v:shape id="_x0000_i1195" type="#_x0000_t75" style="width:128.25pt;height:18.75pt" o:ole="">
            <v:imagedata r:id="rId317" o:title=""/>
          </v:shape>
          <o:OLEObject Type="Embed" ProgID="Equation.3" ShapeID="_x0000_i1195" DrawAspect="Content" ObjectID="_1410345334" r:id="rId318"/>
        </w:object>
      </w:r>
    </w:p>
    <w:p w:rsidR="003F0160" w:rsidRPr="00DE3DF9" w:rsidRDefault="003F0160" w:rsidP="003F0160">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E0FC5">
        <w:rPr>
          <w:rFonts w:eastAsiaTheme="minorEastAsia"/>
          <w:position w:val="-14"/>
        </w:rPr>
        <w:object w:dxaOrig="2820" w:dyaOrig="400">
          <v:shape id="_x0000_i1196" type="#_x0000_t75" style="width:141pt;height:20.25pt" o:ole="">
            <v:imagedata r:id="rId319" o:title=""/>
          </v:shape>
          <o:OLEObject Type="Embed" ProgID="Equation.3" ShapeID="_x0000_i1196" DrawAspect="Content" ObjectID="_1410345335" r:id="rId320"/>
        </w:object>
      </w:r>
    </w:p>
    <w:p w:rsidR="003F0160" w:rsidRPr="00DE3DF9" w:rsidRDefault="003F0160" w:rsidP="003F0160"/>
    <w:p w:rsidR="003F0160" w:rsidRDefault="003F0160" w:rsidP="003F0160">
      <w:pPr>
        <w:rPr>
          <w:rFonts w:eastAsiaTheme="minorEastAsia"/>
        </w:rPr>
      </w:pPr>
      <w:r>
        <w:tab/>
      </w:r>
      <w:r>
        <w:tab/>
      </w:r>
      <w:r>
        <w:tab/>
      </w:r>
      <w:r>
        <w:tab/>
      </w:r>
      <w:r>
        <w:tab/>
      </w:r>
      <w:r w:rsidRPr="006E0FC5">
        <w:rPr>
          <w:rFonts w:eastAsiaTheme="minorEastAsia"/>
          <w:position w:val="-14"/>
        </w:rPr>
        <w:object w:dxaOrig="2439" w:dyaOrig="380">
          <v:shape id="_x0000_i1197" type="#_x0000_t75" style="width:122.25pt;height:18.75pt" o:ole="">
            <v:imagedata r:id="rId321" o:title=""/>
          </v:shape>
          <o:OLEObject Type="Embed" ProgID="Equation.3" ShapeID="_x0000_i1197" DrawAspect="Content" ObjectID="_1410345336" r:id="rId322"/>
        </w:object>
      </w:r>
    </w:p>
    <w:p w:rsidR="003F0160" w:rsidRDefault="003F0160" w:rsidP="003F0160">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E0FC5">
        <w:rPr>
          <w:rFonts w:eastAsiaTheme="minorEastAsia"/>
          <w:position w:val="-14"/>
        </w:rPr>
        <w:object w:dxaOrig="2480" w:dyaOrig="380">
          <v:shape id="_x0000_i1198" type="#_x0000_t75" style="width:123.75pt;height:18.75pt" o:ole="">
            <v:imagedata r:id="rId323" o:title=""/>
          </v:shape>
          <o:OLEObject Type="Embed" ProgID="Equation.3" ShapeID="_x0000_i1198" DrawAspect="Content" ObjectID="_1410345337" r:id="rId324"/>
        </w:object>
      </w:r>
    </w:p>
    <w:p w:rsidR="003F0160" w:rsidRDefault="003F0160" w:rsidP="003F0160"/>
    <w:p w:rsidR="00BE0C84" w:rsidRPr="00DE3DF9" w:rsidRDefault="00BE0C84" w:rsidP="003F0160">
      <w:r>
        <w:t>Substituting these values,</w:t>
      </w:r>
    </w:p>
    <w:p w:rsidR="003F0160" w:rsidRDefault="003F0160" w:rsidP="003F0160">
      <w:r w:rsidRPr="005B6ED8">
        <w:rPr>
          <w:position w:val="-130"/>
        </w:rPr>
        <w:object w:dxaOrig="8540" w:dyaOrig="2720">
          <v:shape id="_x0000_i1199" type="#_x0000_t75" style="width:426.75pt;height:135.75pt" o:ole="">
            <v:imagedata r:id="rId325" o:title=""/>
          </v:shape>
          <o:OLEObject Type="Embed" ProgID="Equation.3" ShapeID="_x0000_i1199" DrawAspect="Content" ObjectID="_1410345338" r:id="rId326"/>
        </w:object>
      </w:r>
      <w:bookmarkStart w:id="0" w:name="_GoBack"/>
      <w:bookmarkEnd w:id="0"/>
    </w:p>
    <w:p w:rsidR="003F0160" w:rsidRDefault="003F0160" w:rsidP="003F0160">
      <w:r w:rsidRPr="005B6ED8">
        <w:t>Since there is no term for v</w:t>
      </w:r>
      <w:r w:rsidRPr="005B6ED8">
        <w:rPr>
          <w:vertAlign w:val="subscript"/>
        </w:rPr>
        <w:t>t</w:t>
      </w:r>
      <w:r w:rsidRPr="005B6ED8">
        <w:t>, v</w:t>
      </w:r>
      <w:r w:rsidRPr="005B6ED8">
        <w:rPr>
          <w:vertAlign w:val="subscript"/>
        </w:rPr>
        <w:t>t-2</w:t>
      </w:r>
      <w:r w:rsidRPr="005B6ED8">
        <w:t>, v</w:t>
      </w:r>
      <w:r w:rsidRPr="005B6ED8">
        <w:rPr>
          <w:vertAlign w:val="subscript"/>
        </w:rPr>
        <w:t>t-3</w:t>
      </w:r>
      <w:r w:rsidRPr="005B6ED8">
        <w:t>, their coefficients will become zero. Therefore solving for v</w:t>
      </w:r>
      <w:r w:rsidRPr="005B6ED8">
        <w:rPr>
          <w:vertAlign w:val="subscript"/>
        </w:rPr>
        <w:t>t-1</w:t>
      </w:r>
      <w:r w:rsidRPr="005B6ED8">
        <w:t>.</w:t>
      </w:r>
    </w:p>
    <w:p w:rsidR="003F0160" w:rsidRDefault="003F0160" w:rsidP="003F0160"/>
    <w:p w:rsidR="003F0160" w:rsidRPr="00DE3DF9" w:rsidRDefault="003F0160" w:rsidP="003F0160">
      <w:pPr>
        <w:ind w:left="720" w:firstLine="720"/>
      </w:pPr>
      <w:r w:rsidRPr="00683E33">
        <w:rPr>
          <w:position w:val="-70"/>
        </w:rPr>
        <w:object w:dxaOrig="6420" w:dyaOrig="1520">
          <v:shape id="_x0000_i1200" type="#_x0000_t75" style="width:321pt;height:75.75pt" o:ole="">
            <v:imagedata r:id="rId327" o:title=""/>
          </v:shape>
          <o:OLEObject Type="Embed" ProgID="Equation.3" ShapeID="_x0000_i1200" DrawAspect="Content" ObjectID="_1410345339" r:id="rId328"/>
        </w:object>
      </w:r>
    </w:p>
    <w:p w:rsidR="003F0160" w:rsidRPr="00BC29DB" w:rsidRDefault="003F0160" w:rsidP="003F0160">
      <w:r w:rsidRPr="00BC29DB">
        <w:t>Since</w:t>
      </w:r>
      <w:r w:rsidRPr="00BC29DB">
        <w:sym w:font="Symbol" w:char="F059"/>
      </w:r>
      <w:r w:rsidRPr="00BC29DB">
        <w:rPr>
          <w:vertAlign w:val="subscript"/>
        </w:rPr>
        <w:t>1</w:t>
      </w:r>
      <w:r w:rsidRPr="00BC29DB">
        <w:rPr>
          <w:vertAlign w:val="subscript"/>
        </w:rPr>
        <w:sym w:font="Symbol" w:char="F070"/>
      </w:r>
      <w:r w:rsidRPr="00BC29DB">
        <w:t xml:space="preserve"> = 0 we get </w:t>
      </w:r>
      <w:r w:rsidRPr="00BC29DB">
        <w:sym w:font="Symbol" w:char="F059"/>
      </w:r>
      <w:r w:rsidRPr="00BC29DB">
        <w:rPr>
          <w:vertAlign w:val="subscript"/>
        </w:rPr>
        <w:t>2</w:t>
      </w:r>
      <w:r w:rsidRPr="00BC29DB">
        <w:rPr>
          <w:vertAlign w:val="subscript"/>
        </w:rPr>
        <w:sym w:font="Symbol" w:char="F070"/>
      </w:r>
      <w:r w:rsidRPr="00BC29DB">
        <w:t xml:space="preserve"> as</w:t>
      </w:r>
      <w:r w:rsidR="00BE0C84">
        <w:t>:</w:t>
      </w:r>
    </w:p>
    <w:p w:rsidR="003F0160" w:rsidRDefault="003F0160" w:rsidP="003F0160"/>
    <w:p w:rsidR="003F0160" w:rsidRDefault="003F0160" w:rsidP="003F0160">
      <w:r>
        <w:tab/>
      </w:r>
      <w:r>
        <w:tab/>
      </w:r>
      <w:r>
        <w:tab/>
      </w:r>
      <w:r>
        <w:tab/>
      </w:r>
      <w:r w:rsidR="00BE0C84" w:rsidRPr="00AC750C">
        <w:rPr>
          <w:position w:val="-32"/>
        </w:rPr>
        <w:object w:dxaOrig="4940" w:dyaOrig="760">
          <v:shape id="_x0000_i1201" type="#_x0000_t75" style="width:247.5pt;height:38.25pt" o:ole="">
            <v:imagedata r:id="rId329" o:title=""/>
          </v:shape>
          <o:OLEObject Type="Embed" ProgID="Equation.3" ShapeID="_x0000_i1201" DrawAspect="Content" ObjectID="_1410345340" r:id="rId330"/>
        </w:object>
      </w:r>
    </w:p>
    <w:p w:rsidR="003F0160" w:rsidRDefault="003F0160" w:rsidP="003F0160"/>
    <w:p w:rsidR="003F0160" w:rsidRDefault="003F0160" w:rsidP="003F0160">
      <w:r>
        <w:tab/>
      </w:r>
      <w:r>
        <w:tab/>
      </w:r>
      <w:r>
        <w:tab/>
      </w:r>
      <w:r>
        <w:tab/>
      </w:r>
      <w:r w:rsidR="00BE0C84" w:rsidRPr="00AC750C">
        <w:rPr>
          <w:position w:val="-64"/>
        </w:rPr>
        <w:object w:dxaOrig="3220" w:dyaOrig="1040">
          <v:shape id="_x0000_i1202" type="#_x0000_t75" style="width:161.25pt;height:51.75pt" o:ole="">
            <v:imagedata r:id="rId331" o:title=""/>
          </v:shape>
          <o:OLEObject Type="Embed" ProgID="Equation.3" ShapeID="_x0000_i1202" DrawAspect="Content" ObjectID="_1410345341" r:id="rId332"/>
        </w:object>
      </w:r>
    </w:p>
    <w:p w:rsidR="003F0160" w:rsidRPr="00DE3DF9" w:rsidRDefault="003F0160" w:rsidP="003F0160">
      <w:pPr>
        <w:rPr>
          <w:rFonts w:eastAsiaTheme="minorEastAsia"/>
        </w:rPr>
      </w:pPr>
    </w:p>
    <w:p w:rsidR="003F0160" w:rsidRPr="00BC29DB" w:rsidRDefault="003F0160" w:rsidP="003F0160">
      <w:pPr>
        <w:rPr>
          <w:rFonts w:eastAsiaTheme="minorEastAsia"/>
        </w:rPr>
      </w:pPr>
      <w:r w:rsidRPr="00BC29DB">
        <w:rPr>
          <w:rFonts w:eastAsiaTheme="minorEastAsia"/>
        </w:rPr>
        <w:t xml:space="preserve">Let </w:t>
      </w:r>
    </w:p>
    <w:p w:rsidR="003F0160" w:rsidRPr="00BC29DB" w:rsidRDefault="003F0160" w:rsidP="003F0160">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sidR="00BE0C84" w:rsidRPr="00BC29DB">
        <w:rPr>
          <w:rFonts w:eastAsiaTheme="minorEastAsia"/>
          <w:position w:val="-64"/>
        </w:rPr>
        <w:object w:dxaOrig="3019" w:dyaOrig="1040">
          <v:shape id="_x0000_i1203" type="#_x0000_t75" style="width:150.75pt;height:51.75pt" o:ole="">
            <v:imagedata r:id="rId333" o:title=""/>
          </v:shape>
          <o:OLEObject Type="Embed" ProgID="Equation.3" ShapeID="_x0000_i1203" DrawAspect="Content" ObjectID="_1410345342" r:id="rId334"/>
        </w:object>
      </w:r>
    </w:p>
    <w:p w:rsidR="003F0160" w:rsidRPr="00DE3DF9" w:rsidRDefault="003F0160" w:rsidP="003F0160">
      <w:pPr>
        <w:rPr>
          <w:rFonts w:eastAsiaTheme="minorEastAsia"/>
        </w:rPr>
      </w:pPr>
    </w:p>
    <w:p w:rsidR="003F0160" w:rsidRPr="00DE3DF9" w:rsidRDefault="003F0160" w:rsidP="003F0160">
      <w:pPr>
        <w:rPr>
          <w:rFonts w:eastAsiaTheme="minorEastAsia"/>
        </w:rPr>
      </w:pPr>
    </w:p>
    <w:p w:rsidR="003F0160" w:rsidRDefault="003F0160" w:rsidP="003F0160">
      <w:pPr>
        <w:rPr>
          <w:rFonts w:eastAsiaTheme="minorEastAsia"/>
        </w:rPr>
      </w:pPr>
      <w:r w:rsidRPr="00BC29DB">
        <w:rPr>
          <w:rFonts w:eastAsiaTheme="minorEastAsia"/>
        </w:rPr>
        <w:t>Then,</w:t>
      </w:r>
    </w:p>
    <w:p w:rsidR="003F0160" w:rsidRDefault="003F0160" w:rsidP="003F0160">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8D7050">
        <w:rPr>
          <w:rFonts w:eastAsiaTheme="minorEastAsia"/>
          <w:position w:val="-14"/>
        </w:rPr>
        <w:object w:dxaOrig="1219" w:dyaOrig="380">
          <v:shape id="_x0000_i1204" type="#_x0000_t75" style="width:60.75pt;height:18.75pt" o:ole="">
            <v:imagedata r:id="rId335" o:title=""/>
          </v:shape>
          <o:OLEObject Type="Embed" ProgID="Equation.3" ShapeID="_x0000_i1204" DrawAspect="Content" ObjectID="_1410345343" r:id="rId336"/>
        </w:object>
      </w:r>
    </w:p>
    <w:p w:rsidR="003F0160" w:rsidRDefault="003F0160" w:rsidP="003F0160">
      <w:pPr>
        <w:rPr>
          <w:rFonts w:eastAsiaTheme="minorEastAsia"/>
        </w:rPr>
      </w:pPr>
      <w:r w:rsidRPr="00BC29DB">
        <w:rPr>
          <w:rFonts w:eastAsiaTheme="minorEastAsia"/>
        </w:rPr>
        <w:br/>
        <w:t xml:space="preserve">Now from the </w:t>
      </w:r>
      <w:r w:rsidR="00BE0C84">
        <w:rPr>
          <w:rFonts w:eastAsiaTheme="minorEastAsia"/>
        </w:rPr>
        <w:t>AS</w:t>
      </w:r>
      <w:r w:rsidRPr="00BC29DB">
        <w:rPr>
          <w:rFonts w:eastAsiaTheme="minorEastAsia"/>
        </w:rPr>
        <w:t xml:space="preserve"> we have,</w:t>
      </w:r>
    </w:p>
    <w:p w:rsidR="003F0160" w:rsidRDefault="003F0160" w:rsidP="003F0160">
      <w:pPr>
        <w:rPr>
          <w:rFonts w:eastAsiaTheme="minorEastAsia"/>
        </w:rPr>
      </w:pPr>
      <w:r>
        <w:rPr>
          <w:rFonts w:eastAsiaTheme="minorEastAsia"/>
        </w:rPr>
        <w:tab/>
      </w:r>
      <w:r>
        <w:rPr>
          <w:rFonts w:eastAsiaTheme="minorEastAsia"/>
        </w:rPr>
        <w:tab/>
      </w:r>
      <w:r>
        <w:rPr>
          <w:rFonts w:eastAsiaTheme="minorEastAsia"/>
        </w:rPr>
        <w:tab/>
      </w:r>
      <w:r w:rsidRPr="008D7050">
        <w:rPr>
          <w:rFonts w:eastAsiaTheme="minorEastAsia"/>
          <w:position w:val="-30"/>
        </w:rPr>
        <w:object w:dxaOrig="5539" w:dyaOrig="720">
          <v:shape id="_x0000_i1205" type="#_x0000_t75" style="width:276.75pt;height:36pt" o:ole="">
            <v:imagedata r:id="rId337" o:title=""/>
          </v:shape>
          <o:OLEObject Type="Embed" ProgID="Equation.3" ShapeID="_x0000_i1205" DrawAspect="Content" ObjectID="_1410345344" r:id="rId338"/>
        </w:object>
      </w:r>
    </w:p>
    <w:p w:rsidR="003F0160" w:rsidRPr="00BC29DB" w:rsidRDefault="003F0160" w:rsidP="003F0160"/>
    <w:p w:rsidR="003F0160" w:rsidRPr="00BC29DB" w:rsidRDefault="003F0160" w:rsidP="003F0160">
      <w:pPr>
        <w:rPr>
          <w:rFonts w:eastAsiaTheme="minorEastAsia"/>
        </w:rPr>
      </w:pPr>
      <w:r w:rsidRPr="00BC29DB">
        <w:t xml:space="preserve">Using the new definition for </w:t>
      </w:r>
      <w:r w:rsidR="00BE0C84">
        <w:sym w:font="Symbol" w:char="F070"/>
      </w:r>
      <w:r w:rsidR="00BE0C84">
        <w:rPr>
          <w:vertAlign w:val="subscript"/>
        </w:rPr>
        <w:t>H, t</w:t>
      </w:r>
      <w:r w:rsidRPr="00BC29DB">
        <w:rPr>
          <w:rFonts w:eastAsiaTheme="minorEastAsia"/>
        </w:rPr>
        <w:t xml:space="preserve"> we can define </w:t>
      </w:r>
      <w:r w:rsidR="008E1438" w:rsidRPr="003F0160">
        <w:rPr>
          <w:rFonts w:eastAsiaTheme="minorEastAsia"/>
        </w:rPr>
        <w:fldChar w:fldCharType="begin"/>
      </w:r>
      <w:r w:rsidRPr="003F0160">
        <w:rPr>
          <w:rFonts w:eastAsiaTheme="minorEastAsia"/>
        </w:rPr>
        <w:instrText xml:space="preserve"> QUOTE </w:instrText>
      </w:r>
      <w:r w:rsidR="00E31CC2" w:rsidRPr="008E1438">
        <w:rPr>
          <w:rFonts w:eastAsiaTheme="minorEastAsia"/>
          <w:position w:val="-6"/>
        </w:rPr>
        <w:pict>
          <v:shape id="_x0000_i1206" type="#_x0000_t75" style="width:33pt;height:14.25pt" equationxml="&lt;">
            <v:imagedata r:id="rId339" o:title="" chromakey="white"/>
          </v:shape>
        </w:pict>
      </w:r>
      <w:r w:rsidRPr="003F0160">
        <w:rPr>
          <w:rFonts w:eastAsiaTheme="minorEastAsia"/>
        </w:rPr>
        <w:instrText xml:space="preserve"> </w:instrText>
      </w:r>
      <w:r w:rsidR="008E1438" w:rsidRPr="003F0160">
        <w:rPr>
          <w:rFonts w:eastAsiaTheme="minorEastAsia"/>
        </w:rPr>
        <w:fldChar w:fldCharType="separate"/>
      </w:r>
      <w:r w:rsidR="00E31CC2" w:rsidRPr="008E1438">
        <w:rPr>
          <w:rFonts w:eastAsiaTheme="minorEastAsia"/>
          <w:position w:val="-6"/>
        </w:rPr>
        <w:pict>
          <v:shape id="_x0000_i1207" type="#_x0000_t75" style="width:33pt;height:14.25pt" equationxml="&lt;">
            <v:imagedata r:id="rId339" o:title="" chromakey="white"/>
          </v:shape>
        </w:pict>
      </w:r>
      <w:r w:rsidR="008E1438" w:rsidRPr="003F0160">
        <w:rPr>
          <w:rFonts w:eastAsiaTheme="minorEastAsia"/>
        </w:rPr>
        <w:fldChar w:fldCharType="end"/>
      </w:r>
    </w:p>
    <w:p w:rsidR="003F0160" w:rsidRPr="00BC29DB" w:rsidRDefault="003F0160" w:rsidP="003F0160">
      <w:pPr>
        <w:rPr>
          <w:rFonts w:eastAsiaTheme="minorEastAsia"/>
        </w:rPr>
      </w:pPr>
    </w:p>
    <w:p w:rsidR="003F0160" w:rsidRPr="00BC29DB" w:rsidRDefault="003F0160" w:rsidP="003F0160">
      <w:pPr>
        <w:rPr>
          <w:rFonts w:eastAsiaTheme="minorEastAsia"/>
        </w:rPr>
      </w:pPr>
      <w:r>
        <w:rPr>
          <w:rFonts w:eastAsiaTheme="minorEastAsia"/>
        </w:rPr>
        <w:tab/>
      </w:r>
      <w:r>
        <w:rPr>
          <w:rFonts w:eastAsiaTheme="minorEastAsia"/>
        </w:rPr>
        <w:tab/>
      </w:r>
      <w:r>
        <w:rPr>
          <w:rFonts w:eastAsiaTheme="minorEastAsia"/>
        </w:rPr>
        <w:tab/>
      </w:r>
      <w:r w:rsidRPr="008D7050">
        <w:rPr>
          <w:rFonts w:eastAsiaTheme="minorEastAsia"/>
          <w:position w:val="-30"/>
        </w:rPr>
        <w:object w:dxaOrig="5460" w:dyaOrig="720">
          <v:shape id="_x0000_i1208" type="#_x0000_t75" style="width:273pt;height:36pt" o:ole="">
            <v:imagedata r:id="rId340" o:title=""/>
          </v:shape>
          <o:OLEObject Type="Embed" ProgID="Equation.3" ShapeID="_x0000_i1208" DrawAspect="Content" ObjectID="_1410345345" r:id="rId341"/>
        </w:object>
      </w:r>
    </w:p>
    <w:p w:rsidR="003F0160" w:rsidRDefault="003F0160">
      <w:pPr>
        <w:spacing w:line="360" w:lineRule="auto"/>
      </w:pPr>
    </w:p>
    <w:p w:rsidR="00BE0C84" w:rsidRDefault="00BE0C84">
      <w:pPr>
        <w:spacing w:line="360" w:lineRule="auto"/>
      </w:pPr>
      <w:r>
        <w:lastRenderedPageBreak/>
        <w:t>Or</w:t>
      </w:r>
      <w:r w:rsidR="00FA2A0F">
        <w:t>,</w:t>
      </w:r>
      <w:r>
        <w:t xml:space="preserve"> using the substitution in</w:t>
      </w:r>
      <w:r w:rsidR="00FA2A0F">
        <w:t>:</w:t>
      </w:r>
    </w:p>
    <w:p w:rsidR="0079209C" w:rsidRDefault="00AF4731">
      <w:pPr>
        <w:spacing w:line="360" w:lineRule="auto"/>
        <w:ind w:left="1440" w:firstLine="720"/>
      </w:pPr>
      <w:r w:rsidRPr="00F7160F">
        <w:rPr>
          <w:position w:val="-30"/>
        </w:rPr>
        <w:object w:dxaOrig="4220" w:dyaOrig="680">
          <v:shape id="_x0000_i1209" type="#_x0000_t75" style="width:210.75pt;height:33.75pt" o:ole="">
            <v:imagedata r:id="rId342" o:title=""/>
          </v:shape>
          <o:OLEObject Type="Embed" ProgID="Equation.3" ShapeID="_x0000_i1209" DrawAspect="Content" ObjectID="_1410345346" r:id="rId343"/>
        </w:object>
      </w:r>
    </w:p>
    <w:p w:rsidR="0079209C" w:rsidRDefault="00BE0C84">
      <w:pPr>
        <w:spacing w:line="360" w:lineRule="auto"/>
      </w:pPr>
      <w:r>
        <w:t>Gives equation (30) in the text</w:t>
      </w:r>
      <w:r w:rsidR="00FA2A0F">
        <w:t>.</w:t>
      </w:r>
    </w:p>
    <w:p w:rsidR="0079209C" w:rsidRDefault="0079209C">
      <w:pPr>
        <w:spacing w:line="360" w:lineRule="auto"/>
      </w:pPr>
    </w:p>
    <w:p w:rsidR="0079209C" w:rsidRPr="001C5ABA" w:rsidRDefault="007678AD">
      <w:pPr>
        <w:rPr>
          <w:b/>
        </w:rPr>
      </w:pPr>
      <w:r>
        <w:br w:type="page"/>
      </w:r>
      <w:r w:rsidR="001C5ABA" w:rsidRPr="001C5ABA">
        <w:rPr>
          <w:b/>
        </w:rPr>
        <w:lastRenderedPageBreak/>
        <w:t>Tables and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8"/>
        <w:gridCol w:w="1233"/>
        <w:gridCol w:w="994"/>
      </w:tblGrid>
      <w:tr w:rsidR="0079209C" w:rsidTr="001C5ABA">
        <w:trPr>
          <w:cantSplit/>
        </w:trPr>
        <w:tc>
          <w:tcPr>
            <w:tcW w:w="8525" w:type="dxa"/>
            <w:gridSpan w:val="3"/>
          </w:tcPr>
          <w:p w:rsidR="0079209C" w:rsidRDefault="0079209C">
            <w:pPr>
              <w:jc w:val="center"/>
              <w:rPr>
                <w:b/>
              </w:rPr>
            </w:pPr>
            <w:r>
              <w:rPr>
                <w:b/>
              </w:rPr>
              <w:t>Table 1: Benchmark calibrations</w:t>
            </w:r>
          </w:p>
        </w:tc>
      </w:tr>
      <w:tr w:rsidR="0079209C" w:rsidTr="001C5ABA">
        <w:trPr>
          <w:trHeight w:val="242"/>
        </w:trPr>
        <w:tc>
          <w:tcPr>
            <w:tcW w:w="6298" w:type="dxa"/>
            <w:tcBorders>
              <w:bottom w:val="single" w:sz="4" w:space="0" w:color="auto"/>
            </w:tcBorders>
          </w:tcPr>
          <w:p w:rsidR="0079209C" w:rsidRDefault="0079209C">
            <w:pPr>
              <w:pStyle w:val="Heading4"/>
              <w:spacing w:before="0" w:after="0"/>
              <w:rPr>
                <w:rFonts w:ascii="Times New Roman" w:hAnsi="Times New Roman"/>
                <w:b w:val="0"/>
                <w:i/>
                <w:sz w:val="24"/>
                <w:szCs w:val="24"/>
              </w:rPr>
            </w:pPr>
            <w:r>
              <w:rPr>
                <w:rFonts w:ascii="Times New Roman" w:hAnsi="Times New Roman"/>
                <w:b w:val="0"/>
                <w:i/>
                <w:sz w:val="24"/>
                <w:szCs w:val="24"/>
              </w:rPr>
              <w:t>Baseline Calibrations</w:t>
            </w:r>
          </w:p>
        </w:tc>
        <w:tc>
          <w:tcPr>
            <w:tcW w:w="1233" w:type="dxa"/>
            <w:tcBorders>
              <w:bottom w:val="single" w:sz="4" w:space="0" w:color="auto"/>
            </w:tcBorders>
          </w:tcPr>
          <w:p w:rsidR="0079209C" w:rsidRDefault="0079209C"/>
        </w:tc>
        <w:tc>
          <w:tcPr>
            <w:tcW w:w="994" w:type="dxa"/>
            <w:tcBorders>
              <w:bottom w:val="single" w:sz="4" w:space="0" w:color="auto"/>
            </w:tcBorders>
          </w:tcPr>
          <w:p w:rsidR="0079209C" w:rsidRDefault="0079209C"/>
        </w:tc>
      </w:tr>
      <w:tr w:rsidR="0079209C" w:rsidTr="001C5ABA">
        <w:tc>
          <w:tcPr>
            <w:tcW w:w="6298" w:type="dxa"/>
            <w:tcBorders>
              <w:bottom w:val="nil"/>
            </w:tcBorders>
          </w:tcPr>
          <w:p w:rsidR="0079209C" w:rsidRDefault="0079209C">
            <w:r>
              <w:t>Degree of price stickiness</w:t>
            </w:r>
          </w:p>
        </w:tc>
        <w:tc>
          <w:tcPr>
            <w:tcW w:w="1233" w:type="dxa"/>
            <w:tcBorders>
              <w:bottom w:val="nil"/>
            </w:tcBorders>
          </w:tcPr>
          <w:p w:rsidR="0079209C" w:rsidRDefault="0079209C">
            <w:r>
              <w:sym w:font="Symbol" w:char="F071"/>
            </w:r>
          </w:p>
        </w:tc>
        <w:tc>
          <w:tcPr>
            <w:tcW w:w="994" w:type="dxa"/>
            <w:tcBorders>
              <w:bottom w:val="nil"/>
            </w:tcBorders>
          </w:tcPr>
          <w:p w:rsidR="0079209C" w:rsidRDefault="0079209C">
            <w:r>
              <w:t xml:space="preserve">0.75  </w:t>
            </w:r>
          </w:p>
        </w:tc>
      </w:tr>
      <w:tr w:rsidR="0079209C" w:rsidTr="001C5ABA">
        <w:tc>
          <w:tcPr>
            <w:tcW w:w="6298" w:type="dxa"/>
            <w:tcBorders>
              <w:top w:val="nil"/>
              <w:bottom w:val="nil"/>
            </w:tcBorders>
          </w:tcPr>
          <w:p w:rsidR="0079209C" w:rsidRDefault="0079209C">
            <w:r>
              <w:t>Price response to output</w:t>
            </w:r>
          </w:p>
        </w:tc>
        <w:tc>
          <w:tcPr>
            <w:tcW w:w="1233" w:type="dxa"/>
            <w:tcBorders>
              <w:top w:val="nil"/>
              <w:bottom w:val="nil"/>
            </w:tcBorders>
          </w:tcPr>
          <w:p w:rsidR="0079209C" w:rsidRDefault="0079209C">
            <w:r>
              <w:sym w:font="Symbol" w:char="F06A"/>
            </w:r>
          </w:p>
        </w:tc>
        <w:tc>
          <w:tcPr>
            <w:tcW w:w="994" w:type="dxa"/>
            <w:tcBorders>
              <w:top w:val="nil"/>
              <w:bottom w:val="nil"/>
            </w:tcBorders>
          </w:tcPr>
          <w:p w:rsidR="0079209C" w:rsidRDefault="0079209C">
            <w:r>
              <w:t xml:space="preserve">0.25 </w:t>
            </w:r>
          </w:p>
        </w:tc>
      </w:tr>
      <w:tr w:rsidR="0079209C" w:rsidTr="001C5ABA">
        <w:tc>
          <w:tcPr>
            <w:tcW w:w="6298" w:type="dxa"/>
            <w:tcBorders>
              <w:top w:val="nil"/>
              <w:bottom w:val="nil"/>
            </w:tcBorders>
          </w:tcPr>
          <w:p w:rsidR="0079209C" w:rsidRDefault="0079209C">
            <w:r>
              <w:t>Labour supply elasticity of P type</w:t>
            </w:r>
          </w:p>
        </w:tc>
        <w:tc>
          <w:tcPr>
            <w:tcW w:w="1233" w:type="dxa"/>
            <w:tcBorders>
              <w:top w:val="nil"/>
              <w:bottom w:val="nil"/>
            </w:tcBorders>
          </w:tcPr>
          <w:p w:rsidR="0079209C" w:rsidRDefault="0079209C">
            <w:r>
              <w:sym w:font="Symbol" w:char="F06A"/>
            </w:r>
            <w:r>
              <w:rPr>
                <w:vertAlign w:val="subscript"/>
              </w:rPr>
              <w:t>P</w:t>
            </w:r>
          </w:p>
        </w:tc>
        <w:tc>
          <w:tcPr>
            <w:tcW w:w="994" w:type="dxa"/>
            <w:tcBorders>
              <w:top w:val="nil"/>
              <w:bottom w:val="nil"/>
            </w:tcBorders>
          </w:tcPr>
          <w:p w:rsidR="0079209C" w:rsidRDefault="0079209C">
            <w:r>
              <w:t>0.01</w:t>
            </w:r>
          </w:p>
        </w:tc>
      </w:tr>
      <w:tr w:rsidR="0079209C" w:rsidTr="001C5ABA">
        <w:tc>
          <w:tcPr>
            <w:tcW w:w="6298" w:type="dxa"/>
            <w:tcBorders>
              <w:top w:val="nil"/>
              <w:bottom w:val="nil"/>
            </w:tcBorders>
          </w:tcPr>
          <w:p w:rsidR="0079209C" w:rsidRDefault="0079209C">
            <w:r>
              <w:t>Labour supply elasticity of R type</w:t>
            </w:r>
          </w:p>
        </w:tc>
        <w:tc>
          <w:tcPr>
            <w:tcW w:w="1233" w:type="dxa"/>
            <w:tcBorders>
              <w:top w:val="nil"/>
              <w:bottom w:val="nil"/>
            </w:tcBorders>
          </w:tcPr>
          <w:p w:rsidR="0079209C" w:rsidRDefault="0079209C">
            <w:r>
              <w:sym w:font="Symbol" w:char="F06A"/>
            </w:r>
            <w:r>
              <w:rPr>
                <w:vertAlign w:val="subscript"/>
              </w:rPr>
              <w:t>R</w:t>
            </w:r>
          </w:p>
        </w:tc>
        <w:tc>
          <w:tcPr>
            <w:tcW w:w="994" w:type="dxa"/>
            <w:tcBorders>
              <w:top w:val="nil"/>
              <w:bottom w:val="nil"/>
            </w:tcBorders>
          </w:tcPr>
          <w:p w:rsidR="0079209C" w:rsidRDefault="0079209C">
            <w:r>
              <w:t>0.6</w:t>
            </w:r>
          </w:p>
        </w:tc>
      </w:tr>
      <w:tr w:rsidR="0079209C" w:rsidTr="001C5ABA">
        <w:tc>
          <w:tcPr>
            <w:tcW w:w="6298" w:type="dxa"/>
            <w:tcBorders>
              <w:top w:val="nil"/>
              <w:bottom w:val="nil"/>
            </w:tcBorders>
          </w:tcPr>
          <w:p w:rsidR="0079209C" w:rsidRDefault="0079209C">
            <w:r>
              <w:t>Elasticity of substitution between differentiated goods</w:t>
            </w:r>
          </w:p>
        </w:tc>
        <w:tc>
          <w:tcPr>
            <w:tcW w:w="1233" w:type="dxa"/>
            <w:tcBorders>
              <w:top w:val="nil"/>
              <w:bottom w:val="nil"/>
            </w:tcBorders>
          </w:tcPr>
          <w:p w:rsidR="0079209C" w:rsidRDefault="0079209C">
            <w:r>
              <w:t>ε</w:t>
            </w:r>
          </w:p>
        </w:tc>
        <w:tc>
          <w:tcPr>
            <w:tcW w:w="994" w:type="dxa"/>
            <w:tcBorders>
              <w:top w:val="nil"/>
              <w:bottom w:val="nil"/>
            </w:tcBorders>
          </w:tcPr>
          <w:p w:rsidR="0079209C" w:rsidRDefault="0079209C">
            <w:r>
              <w:t>6</w:t>
            </w:r>
          </w:p>
        </w:tc>
      </w:tr>
      <w:tr w:rsidR="0079209C" w:rsidTr="001C5ABA">
        <w:tc>
          <w:tcPr>
            <w:tcW w:w="6298" w:type="dxa"/>
            <w:tcBorders>
              <w:top w:val="nil"/>
              <w:bottom w:val="nil"/>
            </w:tcBorders>
          </w:tcPr>
          <w:p w:rsidR="0079209C" w:rsidRDefault="0079209C">
            <w:r>
              <w:t>Steady state real interest rate or natural interest rate</w:t>
            </w:r>
          </w:p>
        </w:tc>
        <w:tc>
          <w:tcPr>
            <w:tcW w:w="1233" w:type="dxa"/>
            <w:tcBorders>
              <w:top w:val="nil"/>
              <w:bottom w:val="nil"/>
            </w:tcBorders>
          </w:tcPr>
          <w:p w:rsidR="0079209C" w:rsidRDefault="0079209C">
            <w:r>
              <w:sym w:font="Symbol" w:char="F072"/>
            </w:r>
            <w:r>
              <w:t xml:space="preserve"> or </w:t>
            </w:r>
            <w:r w:rsidRPr="00F7160F">
              <w:rPr>
                <w:position w:val="-6"/>
              </w:rPr>
              <w:object w:dxaOrig="160" w:dyaOrig="279">
                <v:shape id="_x0000_i1210" type="#_x0000_t75" style="width:8.25pt;height:14.25pt" o:ole="">
                  <v:imagedata r:id="rId344" o:title=""/>
                </v:shape>
                <o:OLEObject Type="Embed" ProgID="Equation.3" ShapeID="_x0000_i1210" DrawAspect="Content" ObjectID="_1410345347" r:id="rId345"/>
              </w:object>
            </w:r>
          </w:p>
        </w:tc>
        <w:tc>
          <w:tcPr>
            <w:tcW w:w="994" w:type="dxa"/>
            <w:tcBorders>
              <w:top w:val="nil"/>
              <w:bottom w:val="nil"/>
            </w:tcBorders>
          </w:tcPr>
          <w:p w:rsidR="0079209C" w:rsidRDefault="0079209C">
            <w:r>
              <w:t>0.01</w:t>
            </w:r>
          </w:p>
        </w:tc>
      </w:tr>
      <w:tr w:rsidR="0079209C" w:rsidTr="001C5ABA">
        <w:tc>
          <w:tcPr>
            <w:tcW w:w="6298" w:type="dxa"/>
            <w:tcBorders>
              <w:top w:val="nil"/>
              <w:bottom w:val="nil"/>
            </w:tcBorders>
          </w:tcPr>
          <w:p w:rsidR="0079209C" w:rsidRDefault="0079209C">
            <w:r>
              <w:t>Variations in the natural interest rate due to temporary shocks</w:t>
            </w:r>
          </w:p>
        </w:tc>
        <w:tc>
          <w:tcPr>
            <w:tcW w:w="1233" w:type="dxa"/>
            <w:tcBorders>
              <w:top w:val="nil"/>
              <w:bottom w:val="nil"/>
            </w:tcBorders>
          </w:tcPr>
          <w:p w:rsidR="0079209C" w:rsidRDefault="0079209C">
            <w:r w:rsidRPr="00F7160F">
              <w:rPr>
                <w:position w:val="-4"/>
              </w:rPr>
              <w:object w:dxaOrig="279" w:dyaOrig="320">
                <v:shape id="_x0000_i1211" type="#_x0000_t75" style="width:14.25pt;height:15.75pt" o:ole="">
                  <v:imagedata r:id="rId346" o:title=""/>
                </v:shape>
                <o:OLEObject Type="Embed" ProgID="Equation.3" ShapeID="_x0000_i1211" DrawAspect="Content" ObjectID="_1410345348" r:id="rId347"/>
              </w:object>
            </w:r>
          </w:p>
        </w:tc>
        <w:tc>
          <w:tcPr>
            <w:tcW w:w="994" w:type="dxa"/>
            <w:tcBorders>
              <w:top w:val="nil"/>
              <w:bottom w:val="nil"/>
            </w:tcBorders>
          </w:tcPr>
          <w:p w:rsidR="0079209C" w:rsidRDefault="0079209C">
            <w:r>
              <w:t xml:space="preserve">0.01 </w:t>
            </w:r>
            <w:r>
              <w:rPr>
                <w:u w:val="single"/>
              </w:rPr>
              <w:t>+</w:t>
            </w:r>
          </w:p>
        </w:tc>
      </w:tr>
      <w:tr w:rsidR="0079209C" w:rsidTr="001C5ABA">
        <w:tc>
          <w:tcPr>
            <w:tcW w:w="6298" w:type="dxa"/>
            <w:tcBorders>
              <w:top w:val="nil"/>
              <w:bottom w:val="nil"/>
            </w:tcBorders>
          </w:tcPr>
          <w:p w:rsidR="0079209C" w:rsidRDefault="0079209C">
            <w:r>
              <w:t>Degree of openness</w:t>
            </w:r>
          </w:p>
        </w:tc>
        <w:tc>
          <w:tcPr>
            <w:tcW w:w="1233" w:type="dxa"/>
            <w:tcBorders>
              <w:top w:val="nil"/>
              <w:bottom w:val="nil"/>
            </w:tcBorders>
          </w:tcPr>
          <w:p w:rsidR="0079209C" w:rsidRDefault="0079209C">
            <w:r>
              <w:sym w:font="Symbol" w:char="F061"/>
            </w:r>
          </w:p>
        </w:tc>
        <w:tc>
          <w:tcPr>
            <w:tcW w:w="994" w:type="dxa"/>
            <w:tcBorders>
              <w:top w:val="nil"/>
              <w:bottom w:val="nil"/>
            </w:tcBorders>
          </w:tcPr>
          <w:p w:rsidR="0079209C" w:rsidRDefault="0079209C">
            <w:r>
              <w:t xml:space="preserve">0.3 </w:t>
            </w:r>
          </w:p>
        </w:tc>
      </w:tr>
      <w:tr w:rsidR="0079209C" w:rsidTr="001C5ABA">
        <w:tc>
          <w:tcPr>
            <w:tcW w:w="6298" w:type="dxa"/>
            <w:tcBorders>
              <w:top w:val="nil"/>
              <w:bottom w:val="nil"/>
            </w:tcBorders>
          </w:tcPr>
          <w:p w:rsidR="0079209C" w:rsidRDefault="0079209C">
            <w:r>
              <w:t>Proportion of the R type</w:t>
            </w:r>
          </w:p>
        </w:tc>
        <w:tc>
          <w:tcPr>
            <w:tcW w:w="1233" w:type="dxa"/>
            <w:tcBorders>
              <w:top w:val="nil"/>
              <w:bottom w:val="nil"/>
            </w:tcBorders>
          </w:tcPr>
          <w:p w:rsidR="0079209C" w:rsidRDefault="0079209C">
            <w:r>
              <w:sym w:font="Symbol" w:char="F068"/>
            </w:r>
          </w:p>
        </w:tc>
        <w:tc>
          <w:tcPr>
            <w:tcW w:w="994" w:type="dxa"/>
            <w:tcBorders>
              <w:top w:val="nil"/>
              <w:bottom w:val="nil"/>
            </w:tcBorders>
          </w:tcPr>
          <w:p w:rsidR="0079209C" w:rsidRDefault="0079209C">
            <w:r>
              <w:t>0.4</w:t>
            </w:r>
          </w:p>
        </w:tc>
      </w:tr>
      <w:tr w:rsidR="0079209C" w:rsidTr="001C5ABA">
        <w:tc>
          <w:tcPr>
            <w:tcW w:w="6298" w:type="dxa"/>
            <w:tcBorders>
              <w:top w:val="nil"/>
              <w:bottom w:val="nil"/>
            </w:tcBorders>
          </w:tcPr>
          <w:p w:rsidR="0079209C" w:rsidRDefault="0079209C">
            <w:r>
              <w:t>The intertemporal elasticity of substitution of the R type</w:t>
            </w:r>
          </w:p>
        </w:tc>
        <w:tc>
          <w:tcPr>
            <w:tcW w:w="1233" w:type="dxa"/>
            <w:tcBorders>
              <w:top w:val="nil"/>
              <w:bottom w:val="nil"/>
            </w:tcBorders>
          </w:tcPr>
          <w:p w:rsidR="0079209C" w:rsidRDefault="0079209C">
            <w:r w:rsidRPr="00F7160F">
              <w:rPr>
                <w:position w:val="-12"/>
              </w:rPr>
              <w:object w:dxaOrig="600" w:dyaOrig="360">
                <v:shape id="_x0000_i1212" type="#_x0000_t75" style="width:28.5pt;height:17.25pt" o:ole="">
                  <v:imagedata r:id="rId348" o:title=""/>
                </v:shape>
                <o:OLEObject Type="Embed" ProgID="Equation.3" ShapeID="_x0000_i1212" DrawAspect="Content" ObjectID="_1410345349" r:id="rId349"/>
              </w:object>
            </w:r>
          </w:p>
        </w:tc>
        <w:tc>
          <w:tcPr>
            <w:tcW w:w="994" w:type="dxa"/>
            <w:tcBorders>
              <w:top w:val="nil"/>
              <w:bottom w:val="nil"/>
            </w:tcBorders>
          </w:tcPr>
          <w:p w:rsidR="0079209C" w:rsidRDefault="0079209C">
            <w:r>
              <w:t xml:space="preserve">1 </w:t>
            </w:r>
          </w:p>
        </w:tc>
      </w:tr>
      <w:tr w:rsidR="0079209C" w:rsidTr="001C5ABA">
        <w:tc>
          <w:tcPr>
            <w:tcW w:w="6298" w:type="dxa"/>
            <w:tcBorders>
              <w:top w:val="nil"/>
              <w:bottom w:val="nil"/>
            </w:tcBorders>
          </w:tcPr>
          <w:p w:rsidR="0079209C" w:rsidRDefault="0079209C">
            <w:r>
              <w:t>The intertemporal elasticity of substitution of the P type</w:t>
            </w:r>
          </w:p>
        </w:tc>
        <w:tc>
          <w:tcPr>
            <w:tcW w:w="1233" w:type="dxa"/>
            <w:tcBorders>
              <w:top w:val="nil"/>
              <w:bottom w:val="nil"/>
            </w:tcBorders>
          </w:tcPr>
          <w:p w:rsidR="0079209C" w:rsidRDefault="0079209C">
            <w:r w:rsidRPr="00F7160F">
              <w:rPr>
                <w:position w:val="-12"/>
              </w:rPr>
              <w:object w:dxaOrig="600" w:dyaOrig="360">
                <v:shape id="_x0000_i1213" type="#_x0000_t75" style="width:25.5pt;height:15.75pt" o:ole="">
                  <v:imagedata r:id="rId350" o:title=""/>
                </v:shape>
                <o:OLEObject Type="Embed" ProgID="Equation.3" ShapeID="_x0000_i1213" DrawAspect="Content" ObjectID="_1410345350" r:id="rId351"/>
              </w:object>
            </w:r>
          </w:p>
        </w:tc>
        <w:tc>
          <w:tcPr>
            <w:tcW w:w="994" w:type="dxa"/>
            <w:tcBorders>
              <w:top w:val="nil"/>
              <w:bottom w:val="nil"/>
            </w:tcBorders>
          </w:tcPr>
          <w:p w:rsidR="0079209C" w:rsidRDefault="0079209C">
            <w:r>
              <w:t>0</w:t>
            </w:r>
          </w:p>
        </w:tc>
      </w:tr>
      <w:tr w:rsidR="0079209C" w:rsidTr="001C5ABA">
        <w:tc>
          <w:tcPr>
            <w:tcW w:w="6298" w:type="dxa"/>
            <w:tcBorders>
              <w:top w:val="nil"/>
              <w:bottom w:val="nil"/>
            </w:tcBorders>
          </w:tcPr>
          <w:p w:rsidR="0079209C" w:rsidRDefault="0079209C">
            <w:r>
              <w:t>Consumption of the P type</w:t>
            </w:r>
          </w:p>
        </w:tc>
        <w:tc>
          <w:tcPr>
            <w:tcW w:w="1233" w:type="dxa"/>
            <w:tcBorders>
              <w:top w:val="nil"/>
              <w:bottom w:val="nil"/>
            </w:tcBorders>
          </w:tcPr>
          <w:p w:rsidR="0079209C" w:rsidRDefault="0079209C">
            <w:pPr>
              <w:rPr>
                <w:vertAlign w:val="subscript"/>
              </w:rPr>
            </w:pPr>
            <w:r>
              <w:t>C</w:t>
            </w:r>
            <w:r>
              <w:rPr>
                <w:vertAlign w:val="subscript"/>
              </w:rPr>
              <w:t>p</w:t>
            </w:r>
          </w:p>
        </w:tc>
        <w:tc>
          <w:tcPr>
            <w:tcW w:w="994" w:type="dxa"/>
            <w:tcBorders>
              <w:top w:val="nil"/>
              <w:bottom w:val="nil"/>
            </w:tcBorders>
          </w:tcPr>
          <w:p w:rsidR="0079209C" w:rsidRDefault="0079209C">
            <w:r>
              <w:t>0.2</w:t>
            </w:r>
          </w:p>
        </w:tc>
      </w:tr>
      <w:tr w:rsidR="0079209C" w:rsidTr="001C5ABA">
        <w:tc>
          <w:tcPr>
            <w:tcW w:w="6298" w:type="dxa"/>
            <w:tcBorders>
              <w:top w:val="nil"/>
              <w:bottom w:val="nil"/>
            </w:tcBorders>
          </w:tcPr>
          <w:p w:rsidR="0079209C" w:rsidRDefault="0079209C">
            <w:r>
              <w:t>Consumption of the R type</w:t>
            </w:r>
          </w:p>
        </w:tc>
        <w:tc>
          <w:tcPr>
            <w:tcW w:w="1233" w:type="dxa"/>
            <w:tcBorders>
              <w:top w:val="nil"/>
              <w:bottom w:val="nil"/>
            </w:tcBorders>
          </w:tcPr>
          <w:p w:rsidR="0079209C" w:rsidRDefault="0079209C">
            <w:pPr>
              <w:rPr>
                <w:vertAlign w:val="subscript"/>
              </w:rPr>
            </w:pPr>
            <w:r>
              <w:t>C</w:t>
            </w:r>
            <w:r>
              <w:rPr>
                <w:vertAlign w:val="subscript"/>
              </w:rPr>
              <w:t>R</w:t>
            </w:r>
          </w:p>
        </w:tc>
        <w:tc>
          <w:tcPr>
            <w:tcW w:w="994" w:type="dxa"/>
            <w:tcBorders>
              <w:top w:val="nil"/>
              <w:bottom w:val="nil"/>
            </w:tcBorders>
          </w:tcPr>
          <w:p w:rsidR="0079209C" w:rsidRDefault="0079209C">
            <w:r>
              <w:t>1</w:t>
            </w:r>
          </w:p>
        </w:tc>
      </w:tr>
      <w:tr w:rsidR="0079209C" w:rsidTr="001C5ABA">
        <w:tc>
          <w:tcPr>
            <w:tcW w:w="6298" w:type="dxa"/>
            <w:tcBorders>
              <w:top w:val="nil"/>
              <w:bottom w:val="nil"/>
            </w:tcBorders>
          </w:tcPr>
          <w:p w:rsidR="0079209C" w:rsidRDefault="0079209C">
            <w:r>
              <w:t>Share of backward looking inflation</w:t>
            </w:r>
          </w:p>
        </w:tc>
        <w:tc>
          <w:tcPr>
            <w:tcW w:w="1233" w:type="dxa"/>
            <w:tcBorders>
              <w:top w:val="nil"/>
              <w:bottom w:val="nil"/>
            </w:tcBorders>
          </w:tcPr>
          <w:p w:rsidR="0079209C" w:rsidRDefault="0079209C">
            <w:r>
              <w:sym w:font="Symbol" w:char="F067"/>
            </w:r>
            <w:r>
              <w:rPr>
                <w:vertAlign w:val="subscript"/>
              </w:rPr>
              <w:t>b</w:t>
            </w:r>
          </w:p>
        </w:tc>
        <w:tc>
          <w:tcPr>
            <w:tcW w:w="994" w:type="dxa"/>
            <w:tcBorders>
              <w:top w:val="nil"/>
              <w:bottom w:val="nil"/>
            </w:tcBorders>
          </w:tcPr>
          <w:p w:rsidR="0079209C" w:rsidRDefault="0079209C">
            <w:r>
              <w:t>0.2</w:t>
            </w:r>
          </w:p>
        </w:tc>
      </w:tr>
      <w:tr w:rsidR="0079209C" w:rsidTr="001C5ABA">
        <w:tc>
          <w:tcPr>
            <w:tcW w:w="6298" w:type="dxa"/>
            <w:tcBorders>
              <w:top w:val="nil"/>
              <w:bottom w:val="nil"/>
            </w:tcBorders>
          </w:tcPr>
          <w:p w:rsidR="0079209C" w:rsidRDefault="0079209C">
            <w:r>
              <w:t>Share of forward looking inflation</w:t>
            </w:r>
          </w:p>
        </w:tc>
        <w:tc>
          <w:tcPr>
            <w:tcW w:w="1233" w:type="dxa"/>
            <w:tcBorders>
              <w:top w:val="nil"/>
              <w:bottom w:val="nil"/>
            </w:tcBorders>
          </w:tcPr>
          <w:p w:rsidR="0079209C" w:rsidRDefault="0079209C">
            <w:pPr>
              <w:rPr>
                <w:vertAlign w:val="subscript"/>
              </w:rPr>
            </w:pPr>
            <w:r>
              <w:sym w:font="Symbol" w:char="F067"/>
            </w:r>
            <w:r>
              <w:rPr>
                <w:vertAlign w:val="subscript"/>
              </w:rPr>
              <w:t>f</w:t>
            </w:r>
          </w:p>
        </w:tc>
        <w:tc>
          <w:tcPr>
            <w:tcW w:w="994" w:type="dxa"/>
            <w:tcBorders>
              <w:top w:val="nil"/>
              <w:bottom w:val="nil"/>
            </w:tcBorders>
          </w:tcPr>
          <w:p w:rsidR="0079209C" w:rsidRDefault="0079209C">
            <w:r>
              <w:t>0.8</w:t>
            </w:r>
          </w:p>
        </w:tc>
      </w:tr>
      <w:tr w:rsidR="0079209C" w:rsidTr="001C5ABA">
        <w:tc>
          <w:tcPr>
            <w:tcW w:w="6298" w:type="dxa"/>
            <w:tcBorders>
              <w:top w:val="nil"/>
              <w:bottom w:val="nil"/>
            </w:tcBorders>
          </w:tcPr>
          <w:p w:rsidR="0079209C" w:rsidRDefault="0079209C">
            <w:r>
              <w:t>Response coefficient of taxes to the debt ratio</w:t>
            </w:r>
          </w:p>
        </w:tc>
        <w:tc>
          <w:tcPr>
            <w:tcW w:w="1233" w:type="dxa"/>
            <w:tcBorders>
              <w:top w:val="nil"/>
              <w:bottom w:val="nil"/>
            </w:tcBorders>
          </w:tcPr>
          <w:p w:rsidR="0079209C" w:rsidRDefault="0079209C">
            <w:r w:rsidRPr="00F7160F">
              <w:rPr>
                <w:position w:val="-12"/>
              </w:rPr>
              <w:object w:dxaOrig="300" w:dyaOrig="360">
                <v:shape id="_x0000_i1214" type="#_x0000_t75" style="width:15pt;height:18pt" o:ole="">
                  <v:imagedata r:id="rId352" o:title=""/>
                </v:shape>
                <o:OLEObject Type="Embed" ProgID="Equation.3" ShapeID="_x0000_i1214" DrawAspect="Content" ObjectID="_1410345351" r:id="rId353"/>
              </w:object>
            </w:r>
          </w:p>
        </w:tc>
        <w:tc>
          <w:tcPr>
            <w:tcW w:w="994" w:type="dxa"/>
            <w:tcBorders>
              <w:top w:val="nil"/>
              <w:bottom w:val="nil"/>
            </w:tcBorders>
          </w:tcPr>
          <w:p w:rsidR="0079209C" w:rsidRDefault="0079209C">
            <w:r>
              <w:t xml:space="preserve">0.15 </w:t>
            </w:r>
          </w:p>
        </w:tc>
      </w:tr>
      <w:tr w:rsidR="0079209C" w:rsidTr="001C5ABA">
        <w:trPr>
          <w:trHeight w:val="351"/>
        </w:trPr>
        <w:tc>
          <w:tcPr>
            <w:tcW w:w="6298" w:type="dxa"/>
            <w:tcBorders>
              <w:top w:val="nil"/>
              <w:bottom w:val="nil"/>
            </w:tcBorders>
          </w:tcPr>
          <w:p w:rsidR="0079209C" w:rsidRDefault="0079209C">
            <w:r>
              <w:t>Response coefficient of taxes to G expenditure</w:t>
            </w:r>
          </w:p>
        </w:tc>
        <w:tc>
          <w:tcPr>
            <w:tcW w:w="1233" w:type="dxa"/>
            <w:tcBorders>
              <w:top w:val="nil"/>
              <w:bottom w:val="nil"/>
            </w:tcBorders>
          </w:tcPr>
          <w:p w:rsidR="0079209C" w:rsidRDefault="0079209C">
            <w:r w:rsidRPr="00F7160F">
              <w:rPr>
                <w:position w:val="-16"/>
              </w:rPr>
              <w:object w:dxaOrig="499" w:dyaOrig="400">
                <v:shape id="_x0000_i1215" type="#_x0000_t75" style="width:24.75pt;height:20.25pt" o:ole="">
                  <v:imagedata r:id="rId354" o:title=""/>
                </v:shape>
                <o:OLEObject Type="Embed" ProgID="Equation.3" ShapeID="_x0000_i1215" DrawAspect="Content" ObjectID="_1410345352" r:id="rId355"/>
              </w:object>
            </w:r>
          </w:p>
        </w:tc>
        <w:tc>
          <w:tcPr>
            <w:tcW w:w="994" w:type="dxa"/>
            <w:tcBorders>
              <w:top w:val="nil"/>
              <w:bottom w:val="nil"/>
            </w:tcBorders>
          </w:tcPr>
          <w:p w:rsidR="0079209C" w:rsidRDefault="0079209C">
            <w:r>
              <w:t>0</w:t>
            </w:r>
          </w:p>
        </w:tc>
      </w:tr>
      <w:tr w:rsidR="0079209C" w:rsidTr="001C5ABA">
        <w:tc>
          <w:tcPr>
            <w:tcW w:w="6298" w:type="dxa"/>
            <w:tcBorders>
              <w:top w:val="nil"/>
              <w:bottom w:val="nil"/>
            </w:tcBorders>
          </w:tcPr>
          <w:p w:rsidR="0079209C" w:rsidRDefault="0079209C">
            <w:r>
              <w:t>Steady state public debt to output ratio</w:t>
            </w:r>
          </w:p>
        </w:tc>
        <w:tc>
          <w:tcPr>
            <w:tcW w:w="1233" w:type="dxa"/>
            <w:tcBorders>
              <w:top w:val="nil"/>
              <w:bottom w:val="nil"/>
            </w:tcBorders>
          </w:tcPr>
          <w:p w:rsidR="0079209C" w:rsidRDefault="0079209C">
            <w:r w:rsidRPr="00F7160F">
              <w:rPr>
                <w:position w:val="-6"/>
              </w:rPr>
              <w:object w:dxaOrig="240" w:dyaOrig="340">
                <v:shape id="_x0000_i1216" type="#_x0000_t75" style="width:12pt;height:17.25pt" o:ole="">
                  <v:imagedata r:id="rId356" o:title=""/>
                </v:shape>
                <o:OLEObject Type="Embed" ProgID="Equation.3" ShapeID="_x0000_i1216" DrawAspect="Content" ObjectID="_1410345353" r:id="rId357"/>
              </w:object>
            </w:r>
          </w:p>
        </w:tc>
        <w:tc>
          <w:tcPr>
            <w:tcW w:w="994" w:type="dxa"/>
            <w:tcBorders>
              <w:top w:val="nil"/>
              <w:bottom w:val="nil"/>
            </w:tcBorders>
          </w:tcPr>
          <w:p w:rsidR="0079209C" w:rsidRDefault="0079209C">
            <w:r>
              <w:t>0.8</w:t>
            </w:r>
          </w:p>
        </w:tc>
      </w:tr>
      <w:tr w:rsidR="0079209C" w:rsidTr="001C5ABA">
        <w:tc>
          <w:tcPr>
            <w:tcW w:w="6298" w:type="dxa"/>
            <w:tcBorders>
              <w:top w:val="nil"/>
              <w:bottom w:val="nil"/>
            </w:tcBorders>
          </w:tcPr>
          <w:p w:rsidR="0079209C" w:rsidRDefault="0079209C">
            <w:r>
              <w:t>Monthly growth rate</w:t>
            </w:r>
          </w:p>
        </w:tc>
        <w:tc>
          <w:tcPr>
            <w:tcW w:w="1233" w:type="dxa"/>
            <w:tcBorders>
              <w:top w:val="nil"/>
              <w:bottom w:val="nil"/>
            </w:tcBorders>
          </w:tcPr>
          <w:p w:rsidR="0079209C" w:rsidRDefault="0079209C">
            <w:r w:rsidRPr="00F7160F">
              <w:rPr>
                <w:position w:val="-10"/>
              </w:rPr>
              <w:object w:dxaOrig="240" w:dyaOrig="260">
                <v:shape id="_x0000_i1217" type="#_x0000_t75" style="width:12pt;height:12.75pt" o:ole="">
                  <v:imagedata r:id="rId358" o:title=""/>
                </v:shape>
                <o:OLEObject Type="Embed" ProgID="Equation.3" ShapeID="_x0000_i1217" DrawAspect="Content" ObjectID="_1410345354" r:id="rId359"/>
              </w:object>
            </w:r>
          </w:p>
        </w:tc>
        <w:tc>
          <w:tcPr>
            <w:tcW w:w="994" w:type="dxa"/>
            <w:tcBorders>
              <w:top w:val="nil"/>
              <w:bottom w:val="nil"/>
            </w:tcBorders>
          </w:tcPr>
          <w:p w:rsidR="0079209C" w:rsidRDefault="0079209C">
            <w:r>
              <w:t>0.006</w:t>
            </w:r>
          </w:p>
        </w:tc>
      </w:tr>
      <w:tr w:rsidR="0079209C" w:rsidTr="001C5ABA">
        <w:tc>
          <w:tcPr>
            <w:tcW w:w="6298" w:type="dxa"/>
            <w:tcBorders>
              <w:top w:val="nil"/>
              <w:bottom w:val="nil"/>
            </w:tcBorders>
          </w:tcPr>
          <w:p w:rsidR="0079209C" w:rsidRDefault="0079209C">
            <w:r>
              <w:t>Weight of output in the CB’s loss function</w:t>
            </w:r>
          </w:p>
        </w:tc>
        <w:tc>
          <w:tcPr>
            <w:tcW w:w="1233" w:type="dxa"/>
            <w:tcBorders>
              <w:top w:val="nil"/>
              <w:bottom w:val="nil"/>
            </w:tcBorders>
          </w:tcPr>
          <w:p w:rsidR="0079209C" w:rsidRDefault="0079209C">
            <w:pPr>
              <w:rPr>
                <w:vertAlign w:val="subscript"/>
              </w:rPr>
            </w:pPr>
            <w:r>
              <w:t>q</w:t>
            </w:r>
            <w:r>
              <w:rPr>
                <w:vertAlign w:val="subscript"/>
              </w:rPr>
              <w:t>y</w:t>
            </w:r>
            <w:r>
              <w:t xml:space="preserve"> </w:t>
            </w:r>
          </w:p>
        </w:tc>
        <w:tc>
          <w:tcPr>
            <w:tcW w:w="994" w:type="dxa"/>
            <w:tcBorders>
              <w:top w:val="nil"/>
              <w:bottom w:val="nil"/>
            </w:tcBorders>
          </w:tcPr>
          <w:p w:rsidR="0079209C" w:rsidRDefault="0079209C">
            <w:r>
              <w:t xml:space="preserve"> 0.7</w:t>
            </w:r>
          </w:p>
        </w:tc>
      </w:tr>
      <w:tr w:rsidR="0079209C" w:rsidTr="001C5ABA">
        <w:tc>
          <w:tcPr>
            <w:tcW w:w="6298" w:type="dxa"/>
            <w:tcBorders>
              <w:top w:val="nil"/>
              <w:bottom w:val="nil"/>
            </w:tcBorders>
          </w:tcPr>
          <w:p w:rsidR="0079209C" w:rsidRDefault="0079209C">
            <w:r>
              <w:t>Weight of inflation in the CB’s loss function</w:t>
            </w:r>
          </w:p>
        </w:tc>
        <w:tc>
          <w:tcPr>
            <w:tcW w:w="1233" w:type="dxa"/>
            <w:tcBorders>
              <w:top w:val="nil"/>
              <w:bottom w:val="nil"/>
            </w:tcBorders>
          </w:tcPr>
          <w:p w:rsidR="0079209C" w:rsidRDefault="0079209C">
            <w:r>
              <w:t>q</w:t>
            </w:r>
            <w:r>
              <w:rPr>
                <w:vertAlign w:val="subscript"/>
              </w:rPr>
              <w:sym w:font="Symbol" w:char="F070"/>
            </w:r>
          </w:p>
        </w:tc>
        <w:tc>
          <w:tcPr>
            <w:tcW w:w="994" w:type="dxa"/>
            <w:tcBorders>
              <w:top w:val="nil"/>
              <w:bottom w:val="nil"/>
            </w:tcBorders>
          </w:tcPr>
          <w:p w:rsidR="0079209C" w:rsidRDefault="0079209C">
            <w:r>
              <w:t>2</w:t>
            </w:r>
          </w:p>
        </w:tc>
      </w:tr>
      <w:tr w:rsidR="0079209C" w:rsidTr="001C5ABA">
        <w:trPr>
          <w:trHeight w:val="378"/>
        </w:trPr>
        <w:tc>
          <w:tcPr>
            <w:tcW w:w="6298" w:type="dxa"/>
            <w:tcBorders>
              <w:top w:val="nil"/>
            </w:tcBorders>
            <w:vAlign w:val="center"/>
          </w:tcPr>
          <w:p w:rsidR="0079209C" w:rsidRDefault="0079209C">
            <w:pPr>
              <w:pStyle w:val="Heading4"/>
              <w:spacing w:before="0" w:after="0"/>
              <w:rPr>
                <w:rFonts w:ascii="Times New Roman" w:hAnsi="Times New Roman"/>
                <w:b w:val="0"/>
                <w:iCs/>
                <w:sz w:val="24"/>
                <w:szCs w:val="24"/>
              </w:rPr>
            </w:pPr>
            <w:r>
              <w:rPr>
                <w:rFonts w:ascii="Times New Roman" w:hAnsi="Times New Roman"/>
                <w:b w:val="0"/>
                <w:iCs/>
                <w:sz w:val="24"/>
                <w:szCs w:val="24"/>
              </w:rPr>
              <w:t>Weigh</w:t>
            </w:r>
            <w:r w:rsidR="00AF4731">
              <w:rPr>
                <w:rFonts w:ascii="Times New Roman" w:hAnsi="Times New Roman"/>
                <w:b w:val="0"/>
                <w:iCs/>
                <w:sz w:val="24"/>
                <w:szCs w:val="24"/>
              </w:rPr>
              <w:t>t of the interest rate in the C</w:t>
            </w:r>
            <w:r>
              <w:rPr>
                <w:rFonts w:ascii="Times New Roman" w:hAnsi="Times New Roman"/>
                <w:b w:val="0"/>
                <w:iCs/>
                <w:sz w:val="24"/>
                <w:szCs w:val="24"/>
              </w:rPr>
              <w:t>B’s loss function</w:t>
            </w:r>
          </w:p>
        </w:tc>
        <w:tc>
          <w:tcPr>
            <w:tcW w:w="1233" w:type="dxa"/>
            <w:tcBorders>
              <w:top w:val="nil"/>
            </w:tcBorders>
            <w:vAlign w:val="center"/>
          </w:tcPr>
          <w:p w:rsidR="0079209C" w:rsidRDefault="0079209C">
            <w:r>
              <w:t>q</w:t>
            </w:r>
            <w:r>
              <w:rPr>
                <w:vertAlign w:val="subscript"/>
              </w:rPr>
              <w:t>i</w:t>
            </w:r>
          </w:p>
        </w:tc>
        <w:tc>
          <w:tcPr>
            <w:tcW w:w="994" w:type="dxa"/>
            <w:tcBorders>
              <w:top w:val="nil"/>
            </w:tcBorders>
            <w:vAlign w:val="center"/>
          </w:tcPr>
          <w:p w:rsidR="0079209C" w:rsidRDefault="0079209C">
            <w:r>
              <w:t>1</w:t>
            </w:r>
          </w:p>
        </w:tc>
      </w:tr>
      <w:tr w:rsidR="0079209C" w:rsidTr="001C5ABA">
        <w:tc>
          <w:tcPr>
            <w:tcW w:w="6298" w:type="dxa"/>
            <w:tcBorders>
              <w:bottom w:val="single" w:sz="4" w:space="0" w:color="auto"/>
            </w:tcBorders>
          </w:tcPr>
          <w:p w:rsidR="0079209C" w:rsidRDefault="0079209C">
            <w:pPr>
              <w:pStyle w:val="Heading4"/>
              <w:spacing w:before="0" w:after="0"/>
              <w:rPr>
                <w:rFonts w:ascii="Times New Roman" w:hAnsi="Times New Roman"/>
                <w:b w:val="0"/>
                <w:i/>
                <w:sz w:val="24"/>
                <w:szCs w:val="24"/>
              </w:rPr>
            </w:pPr>
            <w:r>
              <w:rPr>
                <w:rFonts w:ascii="Times New Roman" w:hAnsi="Times New Roman"/>
                <w:b w:val="0"/>
                <w:i/>
                <w:sz w:val="24"/>
                <w:szCs w:val="24"/>
              </w:rPr>
              <w:t>Implied parameters</w:t>
            </w:r>
          </w:p>
        </w:tc>
        <w:tc>
          <w:tcPr>
            <w:tcW w:w="1233" w:type="dxa"/>
            <w:tcBorders>
              <w:bottom w:val="single" w:sz="4" w:space="0" w:color="auto"/>
            </w:tcBorders>
          </w:tcPr>
          <w:p w:rsidR="0079209C" w:rsidRDefault="0079209C"/>
        </w:tc>
        <w:tc>
          <w:tcPr>
            <w:tcW w:w="994" w:type="dxa"/>
            <w:tcBorders>
              <w:bottom w:val="single" w:sz="4" w:space="0" w:color="auto"/>
            </w:tcBorders>
          </w:tcPr>
          <w:p w:rsidR="0079209C" w:rsidRDefault="0079209C"/>
        </w:tc>
      </w:tr>
      <w:tr w:rsidR="0079209C" w:rsidTr="001C5ABA">
        <w:tc>
          <w:tcPr>
            <w:tcW w:w="6298" w:type="dxa"/>
            <w:tcBorders>
              <w:bottom w:val="nil"/>
            </w:tcBorders>
          </w:tcPr>
          <w:p w:rsidR="0079209C" w:rsidRDefault="0079209C">
            <w:r>
              <w:t>Weighted average elasticity of substitution</w:t>
            </w:r>
          </w:p>
        </w:tc>
        <w:tc>
          <w:tcPr>
            <w:tcW w:w="1233" w:type="dxa"/>
            <w:tcBorders>
              <w:bottom w:val="nil"/>
            </w:tcBorders>
          </w:tcPr>
          <w:p w:rsidR="0079209C" w:rsidRDefault="0079209C">
            <w:r>
              <w:t>1/</w:t>
            </w:r>
            <w:r>
              <w:sym w:font="Symbol" w:char="F073"/>
            </w:r>
            <w:r>
              <w:rPr>
                <w:vertAlign w:val="subscript"/>
              </w:rPr>
              <w:t>D</w:t>
            </w:r>
            <w:r>
              <w:t xml:space="preserve"> </w:t>
            </w:r>
          </w:p>
        </w:tc>
        <w:tc>
          <w:tcPr>
            <w:tcW w:w="994" w:type="dxa"/>
            <w:tcBorders>
              <w:bottom w:val="nil"/>
            </w:tcBorders>
          </w:tcPr>
          <w:p w:rsidR="0079209C" w:rsidRDefault="0079209C">
            <w:r>
              <w:t>0.58</w:t>
            </w:r>
          </w:p>
        </w:tc>
      </w:tr>
      <w:tr w:rsidR="0079209C" w:rsidTr="001C5ABA">
        <w:tc>
          <w:tcPr>
            <w:tcW w:w="6298" w:type="dxa"/>
            <w:tcBorders>
              <w:top w:val="nil"/>
              <w:bottom w:val="nil"/>
            </w:tcBorders>
          </w:tcPr>
          <w:p w:rsidR="0079209C" w:rsidRDefault="0079209C">
            <w:r>
              <w:t>Discount factor</w:t>
            </w:r>
          </w:p>
        </w:tc>
        <w:tc>
          <w:tcPr>
            <w:tcW w:w="1233" w:type="dxa"/>
            <w:tcBorders>
              <w:top w:val="nil"/>
              <w:bottom w:val="nil"/>
            </w:tcBorders>
          </w:tcPr>
          <w:p w:rsidR="0079209C" w:rsidRDefault="0079209C">
            <w:r>
              <w:sym w:font="Symbol" w:char="F062"/>
            </w:r>
          </w:p>
        </w:tc>
        <w:tc>
          <w:tcPr>
            <w:tcW w:w="994" w:type="dxa"/>
            <w:tcBorders>
              <w:top w:val="nil"/>
              <w:bottom w:val="nil"/>
            </w:tcBorders>
          </w:tcPr>
          <w:p w:rsidR="0079209C" w:rsidRDefault="0079209C">
            <w:r>
              <w:t>0.99</w:t>
            </w:r>
          </w:p>
        </w:tc>
      </w:tr>
      <w:tr w:rsidR="0079209C" w:rsidTr="001C5ABA">
        <w:tc>
          <w:tcPr>
            <w:tcW w:w="6298" w:type="dxa"/>
            <w:tcBorders>
              <w:top w:val="nil"/>
              <w:bottom w:val="nil"/>
            </w:tcBorders>
          </w:tcPr>
          <w:p w:rsidR="0079209C" w:rsidRDefault="0079209C">
            <w:r>
              <w:t>Weighted average consumption level</w:t>
            </w:r>
          </w:p>
        </w:tc>
        <w:tc>
          <w:tcPr>
            <w:tcW w:w="1233" w:type="dxa"/>
            <w:tcBorders>
              <w:top w:val="nil"/>
              <w:bottom w:val="nil"/>
            </w:tcBorders>
          </w:tcPr>
          <w:p w:rsidR="0079209C" w:rsidRDefault="0079209C">
            <w:r>
              <w:t>C</w:t>
            </w:r>
          </w:p>
        </w:tc>
        <w:tc>
          <w:tcPr>
            <w:tcW w:w="994" w:type="dxa"/>
            <w:tcBorders>
              <w:top w:val="nil"/>
              <w:bottom w:val="nil"/>
            </w:tcBorders>
          </w:tcPr>
          <w:p w:rsidR="0079209C" w:rsidRDefault="0079209C">
            <w:r>
              <w:t>0.75</w:t>
            </w:r>
          </w:p>
        </w:tc>
      </w:tr>
      <w:tr w:rsidR="0079209C" w:rsidTr="001C5ABA">
        <w:tc>
          <w:tcPr>
            <w:tcW w:w="6298" w:type="dxa"/>
            <w:tcBorders>
              <w:top w:val="nil"/>
              <w:bottom w:val="nil"/>
            </w:tcBorders>
          </w:tcPr>
          <w:p w:rsidR="0079209C" w:rsidRDefault="0079209C">
            <w:r>
              <w:t>Log deviation from world output</w:t>
            </w:r>
          </w:p>
        </w:tc>
        <w:tc>
          <w:tcPr>
            <w:tcW w:w="1233" w:type="dxa"/>
            <w:tcBorders>
              <w:top w:val="nil"/>
              <w:bottom w:val="nil"/>
            </w:tcBorders>
          </w:tcPr>
          <w:p w:rsidR="0079209C" w:rsidRDefault="0079209C">
            <w:r>
              <w:sym w:font="Symbol" w:char="F06B"/>
            </w:r>
          </w:p>
        </w:tc>
        <w:tc>
          <w:tcPr>
            <w:tcW w:w="994" w:type="dxa"/>
            <w:tcBorders>
              <w:top w:val="nil"/>
              <w:bottom w:val="nil"/>
            </w:tcBorders>
          </w:tcPr>
          <w:p w:rsidR="0079209C" w:rsidRDefault="0079209C">
            <w:r>
              <w:t>0.1</w:t>
            </w:r>
          </w:p>
        </w:tc>
      </w:tr>
      <w:tr w:rsidR="0079209C" w:rsidTr="001C5ABA">
        <w:tc>
          <w:tcPr>
            <w:tcW w:w="6298" w:type="dxa"/>
            <w:tcBorders>
              <w:top w:val="nil"/>
              <w:bottom w:val="nil"/>
            </w:tcBorders>
          </w:tcPr>
          <w:p w:rsidR="0079209C" w:rsidRDefault="0079209C">
            <w:r>
              <w:t>Philips curve parameter</w:t>
            </w:r>
          </w:p>
        </w:tc>
        <w:tc>
          <w:tcPr>
            <w:tcW w:w="1233" w:type="dxa"/>
            <w:tcBorders>
              <w:top w:val="nil"/>
              <w:bottom w:val="nil"/>
            </w:tcBorders>
          </w:tcPr>
          <w:p w:rsidR="0079209C" w:rsidRDefault="0079209C">
            <w:r>
              <w:sym w:font="Symbol" w:char="F06C"/>
            </w:r>
          </w:p>
        </w:tc>
        <w:tc>
          <w:tcPr>
            <w:tcW w:w="994" w:type="dxa"/>
            <w:tcBorders>
              <w:top w:val="nil"/>
              <w:bottom w:val="nil"/>
            </w:tcBorders>
          </w:tcPr>
          <w:p w:rsidR="0079209C" w:rsidRDefault="0079209C">
            <w:r>
              <w:t>0.24</w:t>
            </w:r>
          </w:p>
        </w:tc>
      </w:tr>
      <w:tr w:rsidR="0079209C" w:rsidTr="001C5ABA">
        <w:tc>
          <w:tcPr>
            <w:tcW w:w="6298" w:type="dxa"/>
            <w:tcBorders>
              <w:top w:val="nil"/>
              <w:bottom w:val="nil"/>
            </w:tcBorders>
          </w:tcPr>
          <w:p w:rsidR="0079209C" w:rsidRDefault="0079209C">
            <w:r>
              <w:t>Steady state real interest rate, discount rate</w:t>
            </w:r>
          </w:p>
        </w:tc>
        <w:tc>
          <w:tcPr>
            <w:tcW w:w="1233" w:type="dxa"/>
            <w:tcBorders>
              <w:top w:val="nil"/>
              <w:bottom w:val="nil"/>
            </w:tcBorders>
          </w:tcPr>
          <w:p w:rsidR="0079209C" w:rsidRDefault="0079209C">
            <w:r>
              <w:sym w:font="Symbol" w:char="F072"/>
            </w:r>
          </w:p>
        </w:tc>
        <w:tc>
          <w:tcPr>
            <w:tcW w:w="994" w:type="dxa"/>
            <w:tcBorders>
              <w:top w:val="nil"/>
              <w:bottom w:val="nil"/>
            </w:tcBorders>
          </w:tcPr>
          <w:p w:rsidR="0079209C" w:rsidRDefault="0079209C">
            <w:r>
              <w:t>0.01</w:t>
            </w:r>
          </w:p>
        </w:tc>
      </w:tr>
      <w:tr w:rsidR="0079209C" w:rsidTr="001C5ABA">
        <w:tc>
          <w:tcPr>
            <w:tcW w:w="6298" w:type="dxa"/>
            <w:tcBorders>
              <w:top w:val="nil"/>
              <w:bottom w:val="nil"/>
            </w:tcBorders>
          </w:tcPr>
          <w:p w:rsidR="0079209C" w:rsidRDefault="0079209C">
            <w:r>
              <w:t>Labour supply elasticity</w:t>
            </w:r>
          </w:p>
        </w:tc>
        <w:tc>
          <w:tcPr>
            <w:tcW w:w="1233" w:type="dxa"/>
            <w:tcBorders>
              <w:top w:val="nil"/>
              <w:bottom w:val="nil"/>
            </w:tcBorders>
          </w:tcPr>
          <w:p w:rsidR="0079209C" w:rsidRDefault="0079209C">
            <w:r>
              <w:t>1/</w:t>
            </w:r>
            <w:r>
              <w:sym w:font="Symbol" w:char="F06A"/>
            </w:r>
          </w:p>
        </w:tc>
        <w:tc>
          <w:tcPr>
            <w:tcW w:w="994" w:type="dxa"/>
            <w:tcBorders>
              <w:top w:val="nil"/>
              <w:bottom w:val="nil"/>
            </w:tcBorders>
          </w:tcPr>
          <w:p w:rsidR="0079209C" w:rsidRDefault="0079209C">
            <w:r>
              <w:t>4</w:t>
            </w:r>
          </w:p>
        </w:tc>
      </w:tr>
      <w:tr w:rsidR="0079209C" w:rsidTr="001C5ABA">
        <w:tc>
          <w:tcPr>
            <w:tcW w:w="6298" w:type="dxa"/>
            <w:tcBorders>
              <w:bottom w:val="single" w:sz="4" w:space="0" w:color="auto"/>
            </w:tcBorders>
          </w:tcPr>
          <w:p w:rsidR="0079209C" w:rsidRDefault="0079209C">
            <w:pPr>
              <w:pStyle w:val="Heading4"/>
              <w:spacing w:before="0" w:after="0"/>
              <w:rPr>
                <w:rFonts w:ascii="Times New Roman" w:hAnsi="Times New Roman"/>
                <w:b w:val="0"/>
                <w:i/>
                <w:sz w:val="24"/>
                <w:szCs w:val="24"/>
              </w:rPr>
            </w:pPr>
            <w:r>
              <w:rPr>
                <w:rFonts w:ascii="Times New Roman" w:hAnsi="Times New Roman"/>
                <w:b w:val="0"/>
                <w:i/>
                <w:sz w:val="24"/>
                <w:szCs w:val="24"/>
              </w:rPr>
              <w:t xml:space="preserve">Shocks </w:t>
            </w:r>
          </w:p>
        </w:tc>
        <w:tc>
          <w:tcPr>
            <w:tcW w:w="1233" w:type="dxa"/>
            <w:tcBorders>
              <w:bottom w:val="single" w:sz="4" w:space="0" w:color="auto"/>
            </w:tcBorders>
          </w:tcPr>
          <w:p w:rsidR="0079209C" w:rsidRDefault="0079209C"/>
        </w:tc>
        <w:tc>
          <w:tcPr>
            <w:tcW w:w="994" w:type="dxa"/>
            <w:tcBorders>
              <w:bottom w:val="single" w:sz="4" w:space="0" w:color="auto"/>
            </w:tcBorders>
          </w:tcPr>
          <w:p w:rsidR="0079209C" w:rsidRDefault="0079209C"/>
        </w:tc>
      </w:tr>
      <w:tr w:rsidR="0079209C" w:rsidTr="001C5ABA">
        <w:tc>
          <w:tcPr>
            <w:tcW w:w="6298" w:type="dxa"/>
            <w:tcBorders>
              <w:top w:val="nil"/>
              <w:bottom w:val="nil"/>
            </w:tcBorders>
          </w:tcPr>
          <w:p w:rsidR="0079209C" w:rsidRDefault="0079209C">
            <w:r>
              <w:t>Persistence of shock to G expenditure</w:t>
            </w:r>
          </w:p>
        </w:tc>
        <w:tc>
          <w:tcPr>
            <w:tcW w:w="1233" w:type="dxa"/>
            <w:tcBorders>
              <w:top w:val="nil"/>
              <w:bottom w:val="nil"/>
            </w:tcBorders>
          </w:tcPr>
          <w:p w:rsidR="0079209C" w:rsidRDefault="0079209C">
            <w:pPr>
              <w:rPr>
                <w:vertAlign w:val="superscript"/>
              </w:rPr>
            </w:pPr>
            <w:r>
              <w:sym w:font="Symbol" w:char="F072"/>
            </w:r>
            <w:r>
              <w:rPr>
                <w:vertAlign w:val="superscript"/>
              </w:rPr>
              <w:t>G</w:t>
            </w:r>
          </w:p>
        </w:tc>
        <w:tc>
          <w:tcPr>
            <w:tcW w:w="994" w:type="dxa"/>
            <w:tcBorders>
              <w:top w:val="nil"/>
              <w:bottom w:val="nil"/>
            </w:tcBorders>
          </w:tcPr>
          <w:p w:rsidR="0079209C" w:rsidRDefault="0079209C">
            <w:r>
              <w:t>0.25</w:t>
            </w:r>
          </w:p>
        </w:tc>
      </w:tr>
      <w:tr w:rsidR="00601BB8" w:rsidTr="001C5ABA">
        <w:tc>
          <w:tcPr>
            <w:tcW w:w="6298" w:type="dxa"/>
            <w:tcBorders>
              <w:top w:val="nil"/>
              <w:bottom w:val="nil"/>
            </w:tcBorders>
          </w:tcPr>
          <w:p w:rsidR="00601BB8" w:rsidRDefault="00601BB8" w:rsidP="00801968">
            <w:r>
              <w:t>Persistence of natural rate shock</w:t>
            </w:r>
          </w:p>
        </w:tc>
        <w:tc>
          <w:tcPr>
            <w:tcW w:w="1233" w:type="dxa"/>
            <w:tcBorders>
              <w:top w:val="nil"/>
              <w:bottom w:val="nil"/>
            </w:tcBorders>
          </w:tcPr>
          <w:p w:rsidR="00601BB8" w:rsidRDefault="00601BB8" w:rsidP="00801968">
            <w:pPr>
              <w:rPr>
                <w:vertAlign w:val="superscript"/>
              </w:rPr>
            </w:pPr>
            <w:r>
              <w:sym w:font="Symbol" w:char="F072"/>
            </w:r>
            <w:r>
              <w:rPr>
                <w:vertAlign w:val="superscript"/>
              </w:rPr>
              <w:t>r</w:t>
            </w:r>
          </w:p>
        </w:tc>
        <w:tc>
          <w:tcPr>
            <w:tcW w:w="994" w:type="dxa"/>
            <w:tcBorders>
              <w:top w:val="nil"/>
              <w:bottom w:val="nil"/>
            </w:tcBorders>
          </w:tcPr>
          <w:p w:rsidR="00601BB8" w:rsidRDefault="00601BB8" w:rsidP="00801968">
            <w:r>
              <w:t>0.75</w:t>
            </w:r>
          </w:p>
        </w:tc>
      </w:tr>
      <w:tr w:rsidR="00601BB8" w:rsidTr="001C5ABA">
        <w:tc>
          <w:tcPr>
            <w:tcW w:w="6298" w:type="dxa"/>
            <w:tcBorders>
              <w:top w:val="nil"/>
              <w:bottom w:val="nil"/>
            </w:tcBorders>
          </w:tcPr>
          <w:p w:rsidR="00601BB8" w:rsidRDefault="00601BB8" w:rsidP="00801968">
            <w:r>
              <w:t>Persistence of cost-push shock</w:t>
            </w:r>
          </w:p>
        </w:tc>
        <w:tc>
          <w:tcPr>
            <w:tcW w:w="1233" w:type="dxa"/>
            <w:tcBorders>
              <w:top w:val="nil"/>
              <w:bottom w:val="nil"/>
            </w:tcBorders>
          </w:tcPr>
          <w:p w:rsidR="00601BB8" w:rsidRDefault="00601BB8" w:rsidP="00801968">
            <w:pPr>
              <w:rPr>
                <w:vertAlign w:val="superscript"/>
              </w:rPr>
            </w:pPr>
            <w:r>
              <w:sym w:font="Symbol" w:char="F072"/>
            </w:r>
            <w:r>
              <w:rPr>
                <w:vertAlign w:val="superscript"/>
              </w:rPr>
              <w:t>c</w:t>
            </w:r>
          </w:p>
        </w:tc>
        <w:tc>
          <w:tcPr>
            <w:tcW w:w="994" w:type="dxa"/>
            <w:tcBorders>
              <w:top w:val="nil"/>
              <w:bottom w:val="nil"/>
            </w:tcBorders>
          </w:tcPr>
          <w:p w:rsidR="00601BB8" w:rsidRDefault="00601BB8" w:rsidP="00801968">
            <w:r>
              <w:t>0</w:t>
            </w:r>
          </w:p>
        </w:tc>
      </w:tr>
      <w:tr w:rsidR="00601BB8" w:rsidTr="001D528D">
        <w:tc>
          <w:tcPr>
            <w:tcW w:w="6298" w:type="dxa"/>
            <w:tcBorders>
              <w:top w:val="nil"/>
              <w:bottom w:val="nil"/>
            </w:tcBorders>
          </w:tcPr>
          <w:p w:rsidR="00601BB8" w:rsidRDefault="00601BB8" w:rsidP="00801968">
            <w:r>
              <w:t>Standard deviation of shock to G expenditure</w:t>
            </w:r>
          </w:p>
        </w:tc>
        <w:tc>
          <w:tcPr>
            <w:tcW w:w="1233" w:type="dxa"/>
            <w:tcBorders>
              <w:top w:val="nil"/>
              <w:bottom w:val="nil"/>
            </w:tcBorders>
          </w:tcPr>
          <w:p w:rsidR="00601BB8" w:rsidRDefault="00601BB8" w:rsidP="00801968">
            <w:r>
              <w:rPr>
                <w:position w:val="-12"/>
              </w:rPr>
              <w:object w:dxaOrig="400" w:dyaOrig="440">
                <v:shape id="_x0000_i1230" type="#_x0000_t75" style="width:16.5pt;height:18pt" o:ole="">
                  <v:imagedata r:id="rId360" o:title=""/>
                </v:shape>
                <o:OLEObject Type="Embed" ProgID="Equation.3" ShapeID="_x0000_i1230" DrawAspect="Content" ObjectID="_1410345355" r:id="rId361"/>
              </w:object>
            </w:r>
          </w:p>
        </w:tc>
        <w:tc>
          <w:tcPr>
            <w:tcW w:w="994" w:type="dxa"/>
            <w:tcBorders>
              <w:top w:val="nil"/>
              <w:bottom w:val="nil"/>
            </w:tcBorders>
          </w:tcPr>
          <w:p w:rsidR="00601BB8" w:rsidRDefault="00601BB8" w:rsidP="00801968">
            <w:r>
              <w:t>0.1</w:t>
            </w:r>
          </w:p>
        </w:tc>
      </w:tr>
      <w:tr w:rsidR="001D528D" w:rsidTr="001D528D">
        <w:tc>
          <w:tcPr>
            <w:tcW w:w="6298" w:type="dxa"/>
            <w:tcBorders>
              <w:top w:val="nil"/>
              <w:bottom w:val="nil"/>
            </w:tcBorders>
          </w:tcPr>
          <w:p w:rsidR="001D528D" w:rsidRDefault="001D528D" w:rsidP="00801968">
            <w:r>
              <w:t>Standard deviation of natural rate shock</w:t>
            </w:r>
          </w:p>
        </w:tc>
        <w:tc>
          <w:tcPr>
            <w:tcW w:w="1233" w:type="dxa"/>
            <w:tcBorders>
              <w:top w:val="nil"/>
              <w:bottom w:val="nil"/>
            </w:tcBorders>
          </w:tcPr>
          <w:p w:rsidR="001D528D" w:rsidRDefault="001D528D" w:rsidP="00801968">
            <w:r>
              <w:rPr>
                <w:position w:val="-12"/>
              </w:rPr>
              <w:object w:dxaOrig="340" w:dyaOrig="440">
                <v:shape id="_x0000_i1231" type="#_x0000_t75" style="width:14.25pt;height:18pt" o:ole="">
                  <v:imagedata r:id="rId362" o:title=""/>
                </v:shape>
                <o:OLEObject Type="Embed" ProgID="Equation.3" ShapeID="_x0000_i1231" DrawAspect="Content" ObjectID="_1410345356" r:id="rId363"/>
              </w:object>
            </w:r>
          </w:p>
        </w:tc>
        <w:tc>
          <w:tcPr>
            <w:tcW w:w="994" w:type="dxa"/>
            <w:tcBorders>
              <w:top w:val="nil"/>
              <w:bottom w:val="nil"/>
            </w:tcBorders>
          </w:tcPr>
          <w:p w:rsidR="001D528D" w:rsidRDefault="001D528D" w:rsidP="00801968">
            <w:r>
              <w:t>0.01</w:t>
            </w:r>
          </w:p>
        </w:tc>
      </w:tr>
      <w:tr w:rsidR="001D528D" w:rsidTr="001C5ABA">
        <w:tc>
          <w:tcPr>
            <w:tcW w:w="6298" w:type="dxa"/>
            <w:tcBorders>
              <w:top w:val="nil"/>
            </w:tcBorders>
          </w:tcPr>
          <w:p w:rsidR="001D528D" w:rsidRDefault="001D528D" w:rsidP="00801968">
            <w:r>
              <w:t>Standard deviation of cost-push shock</w:t>
            </w:r>
          </w:p>
        </w:tc>
        <w:tc>
          <w:tcPr>
            <w:tcW w:w="1233" w:type="dxa"/>
            <w:tcBorders>
              <w:top w:val="nil"/>
            </w:tcBorders>
          </w:tcPr>
          <w:p w:rsidR="001D528D" w:rsidRDefault="001D528D" w:rsidP="00801968">
            <w:r>
              <w:rPr>
                <w:position w:val="-12"/>
              </w:rPr>
              <w:object w:dxaOrig="340" w:dyaOrig="440">
                <v:shape id="_x0000_i1232" type="#_x0000_t75" style="width:14.25pt;height:18pt" o:ole="">
                  <v:imagedata r:id="rId364" o:title=""/>
                </v:shape>
                <o:OLEObject Type="Embed" ProgID="Equation.3" ShapeID="_x0000_i1232" DrawAspect="Content" ObjectID="_1410345357" r:id="rId365"/>
              </w:object>
            </w:r>
          </w:p>
        </w:tc>
        <w:tc>
          <w:tcPr>
            <w:tcW w:w="994" w:type="dxa"/>
            <w:tcBorders>
              <w:top w:val="nil"/>
            </w:tcBorders>
          </w:tcPr>
          <w:p w:rsidR="001D528D" w:rsidRDefault="001D528D" w:rsidP="00801968">
            <w:r>
              <w:t>0.2</w:t>
            </w:r>
          </w:p>
        </w:tc>
      </w:tr>
    </w:tbl>
    <w:p w:rsidR="0079209C" w:rsidRDefault="0079209C"/>
    <w:p w:rsidR="0079209C" w:rsidRDefault="0079209C"/>
    <w:p w:rsidR="0079209C" w:rsidRDefault="0079209C"/>
    <w:p w:rsidR="00205CF3" w:rsidRDefault="00205CF3"/>
    <w:p w:rsidR="004850C6" w:rsidRDefault="004850C6"/>
    <w:p w:rsidR="004850C6" w:rsidRDefault="004850C6"/>
    <w:p w:rsidR="0079209C" w:rsidRDefault="0079209C"/>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2196"/>
        <w:gridCol w:w="1136"/>
        <w:gridCol w:w="1003"/>
        <w:gridCol w:w="1043"/>
        <w:gridCol w:w="1230"/>
        <w:gridCol w:w="1327"/>
      </w:tblGrid>
      <w:tr w:rsidR="0079209C">
        <w:tc>
          <w:tcPr>
            <w:tcW w:w="9108" w:type="dxa"/>
            <w:gridSpan w:val="7"/>
          </w:tcPr>
          <w:p w:rsidR="0079209C" w:rsidRDefault="0079209C">
            <w:pPr>
              <w:pStyle w:val="Heading1"/>
              <w:spacing w:line="220" w:lineRule="atLeast"/>
              <w:jc w:val="center"/>
              <w:rPr>
                <w:bCs w:val="0"/>
                <w:sz w:val="18"/>
                <w:szCs w:val="18"/>
              </w:rPr>
            </w:pPr>
            <w:r>
              <w:rPr>
                <w:bCs w:val="0"/>
                <w:sz w:val="18"/>
                <w:szCs w:val="18"/>
              </w:rPr>
              <w:t>Table 2: Simulations and volatilities</w:t>
            </w:r>
          </w:p>
        </w:tc>
      </w:tr>
      <w:tr w:rsidR="0079209C">
        <w:tc>
          <w:tcPr>
            <w:tcW w:w="1173" w:type="dxa"/>
          </w:tcPr>
          <w:p w:rsidR="0079209C" w:rsidRDefault="0079209C">
            <w:pPr>
              <w:spacing w:line="220" w:lineRule="atLeast"/>
              <w:rPr>
                <w:sz w:val="18"/>
                <w:szCs w:val="18"/>
              </w:rPr>
            </w:pPr>
            <w:r>
              <w:rPr>
                <w:sz w:val="18"/>
                <w:szCs w:val="18"/>
              </w:rPr>
              <w:t>Simulations</w:t>
            </w:r>
          </w:p>
        </w:tc>
        <w:tc>
          <w:tcPr>
            <w:tcW w:w="2196" w:type="dxa"/>
          </w:tcPr>
          <w:p w:rsidR="0079209C" w:rsidRDefault="0079209C">
            <w:pPr>
              <w:spacing w:line="220" w:lineRule="atLeast"/>
              <w:rPr>
                <w:sz w:val="18"/>
                <w:szCs w:val="18"/>
              </w:rPr>
            </w:pPr>
            <w:r>
              <w:rPr>
                <w:sz w:val="18"/>
                <w:szCs w:val="18"/>
              </w:rPr>
              <w:t>Parameters</w:t>
            </w:r>
          </w:p>
        </w:tc>
        <w:tc>
          <w:tcPr>
            <w:tcW w:w="5739" w:type="dxa"/>
            <w:gridSpan w:val="5"/>
          </w:tcPr>
          <w:p w:rsidR="0079209C" w:rsidRDefault="0079209C">
            <w:pPr>
              <w:spacing w:line="220" w:lineRule="atLeast"/>
              <w:jc w:val="center"/>
              <w:rPr>
                <w:sz w:val="18"/>
                <w:szCs w:val="18"/>
              </w:rPr>
            </w:pPr>
            <w:r>
              <w:rPr>
                <w:sz w:val="18"/>
                <w:szCs w:val="18"/>
              </w:rPr>
              <w:t>Standard deviations of (in percentages):</w:t>
            </w:r>
          </w:p>
        </w:tc>
      </w:tr>
      <w:tr w:rsidR="0079209C">
        <w:tc>
          <w:tcPr>
            <w:tcW w:w="1173" w:type="dxa"/>
          </w:tcPr>
          <w:p w:rsidR="0079209C" w:rsidRDefault="0079209C">
            <w:pPr>
              <w:spacing w:line="220" w:lineRule="atLeast"/>
              <w:rPr>
                <w:sz w:val="18"/>
                <w:szCs w:val="18"/>
              </w:rPr>
            </w:pPr>
          </w:p>
        </w:tc>
        <w:tc>
          <w:tcPr>
            <w:tcW w:w="2196" w:type="dxa"/>
          </w:tcPr>
          <w:p w:rsidR="0079209C" w:rsidRDefault="0079209C">
            <w:pPr>
              <w:spacing w:line="220" w:lineRule="atLeast"/>
              <w:rPr>
                <w:sz w:val="18"/>
                <w:szCs w:val="18"/>
              </w:rPr>
            </w:pPr>
          </w:p>
          <w:p w:rsidR="0079209C" w:rsidRDefault="0079209C">
            <w:pPr>
              <w:spacing w:line="220" w:lineRule="atLeast"/>
              <w:rPr>
                <w:sz w:val="18"/>
                <w:szCs w:val="18"/>
              </w:rPr>
            </w:pPr>
            <w:r w:rsidRPr="00F7160F">
              <w:rPr>
                <w:position w:val="-12"/>
                <w:sz w:val="18"/>
                <w:szCs w:val="18"/>
              </w:rPr>
              <w:object w:dxaOrig="2780" w:dyaOrig="380">
                <v:shape id="_x0000_i1218" type="#_x0000_t75" style="width:99pt;height:13.5pt" o:ole="">
                  <v:imagedata r:id="rId366" o:title=""/>
                </v:shape>
                <o:OLEObject Type="Embed" ProgID="Equation.3" ShapeID="_x0000_i1218" DrawAspect="Content" ObjectID="_1410345358" r:id="rId367"/>
              </w:object>
            </w:r>
          </w:p>
          <w:p w:rsidR="0079209C" w:rsidRDefault="0079209C">
            <w:pPr>
              <w:spacing w:line="220" w:lineRule="atLeast"/>
              <w:rPr>
                <w:sz w:val="18"/>
                <w:szCs w:val="18"/>
              </w:rPr>
            </w:pPr>
            <w:r>
              <w:rPr>
                <w:sz w:val="18"/>
                <w:szCs w:val="18"/>
              </w:rPr>
              <w:t>q</w:t>
            </w:r>
            <w:r>
              <w:rPr>
                <w:sz w:val="18"/>
                <w:szCs w:val="18"/>
                <w:vertAlign w:val="subscript"/>
              </w:rPr>
              <w:sym w:font="Symbol" w:char="F070"/>
            </w:r>
            <w:r>
              <w:rPr>
                <w:sz w:val="18"/>
                <w:szCs w:val="18"/>
              </w:rPr>
              <w:t>=2, q</w:t>
            </w:r>
            <w:r>
              <w:rPr>
                <w:sz w:val="18"/>
                <w:szCs w:val="18"/>
                <w:vertAlign w:val="subscript"/>
              </w:rPr>
              <w:t>y</w:t>
            </w:r>
            <w:r>
              <w:rPr>
                <w:sz w:val="18"/>
                <w:szCs w:val="18"/>
              </w:rPr>
              <w:t>=0.07, q</w:t>
            </w:r>
            <w:r>
              <w:rPr>
                <w:sz w:val="18"/>
                <w:szCs w:val="18"/>
                <w:vertAlign w:val="subscript"/>
              </w:rPr>
              <w:t>i</w:t>
            </w:r>
            <w:r>
              <w:rPr>
                <w:sz w:val="18"/>
                <w:szCs w:val="18"/>
              </w:rPr>
              <w:t xml:space="preserve"> =1</w:t>
            </w:r>
          </w:p>
        </w:tc>
        <w:tc>
          <w:tcPr>
            <w:tcW w:w="1136" w:type="dxa"/>
          </w:tcPr>
          <w:p w:rsidR="0079209C" w:rsidRDefault="0079209C">
            <w:pPr>
              <w:spacing w:line="220" w:lineRule="atLeast"/>
              <w:rPr>
                <w:sz w:val="18"/>
                <w:szCs w:val="18"/>
              </w:rPr>
            </w:pPr>
            <w:r>
              <w:rPr>
                <w:sz w:val="18"/>
                <w:szCs w:val="18"/>
              </w:rPr>
              <w:t>Consumer inflation</w:t>
            </w:r>
          </w:p>
        </w:tc>
        <w:tc>
          <w:tcPr>
            <w:tcW w:w="1003" w:type="dxa"/>
          </w:tcPr>
          <w:p w:rsidR="0079209C" w:rsidRDefault="0079209C">
            <w:pPr>
              <w:spacing w:line="220" w:lineRule="atLeast"/>
              <w:rPr>
                <w:sz w:val="18"/>
                <w:szCs w:val="18"/>
              </w:rPr>
            </w:pPr>
            <w:r>
              <w:rPr>
                <w:sz w:val="18"/>
                <w:szCs w:val="18"/>
              </w:rPr>
              <w:t>Output</w:t>
            </w:r>
          </w:p>
        </w:tc>
        <w:tc>
          <w:tcPr>
            <w:tcW w:w="1043" w:type="dxa"/>
          </w:tcPr>
          <w:p w:rsidR="0079209C" w:rsidRDefault="0079209C">
            <w:pPr>
              <w:spacing w:line="220" w:lineRule="atLeast"/>
              <w:rPr>
                <w:sz w:val="18"/>
                <w:szCs w:val="18"/>
              </w:rPr>
            </w:pPr>
            <w:r>
              <w:rPr>
                <w:sz w:val="18"/>
                <w:szCs w:val="18"/>
              </w:rPr>
              <w:t>Domestic inflation</w:t>
            </w:r>
          </w:p>
        </w:tc>
        <w:tc>
          <w:tcPr>
            <w:tcW w:w="1230" w:type="dxa"/>
          </w:tcPr>
          <w:p w:rsidR="0079209C" w:rsidRDefault="0079209C">
            <w:pPr>
              <w:spacing w:line="220" w:lineRule="atLeast"/>
              <w:rPr>
                <w:sz w:val="18"/>
                <w:szCs w:val="18"/>
              </w:rPr>
            </w:pPr>
            <w:r>
              <w:rPr>
                <w:sz w:val="18"/>
                <w:szCs w:val="18"/>
              </w:rPr>
              <w:t>Government debt (initial response)</w:t>
            </w:r>
          </w:p>
        </w:tc>
        <w:tc>
          <w:tcPr>
            <w:tcW w:w="1327" w:type="dxa"/>
          </w:tcPr>
          <w:p w:rsidR="0079209C" w:rsidRDefault="0079209C">
            <w:pPr>
              <w:spacing w:line="220" w:lineRule="atLeast"/>
              <w:rPr>
                <w:sz w:val="18"/>
                <w:szCs w:val="18"/>
              </w:rPr>
            </w:pPr>
            <w:r>
              <w:rPr>
                <w:sz w:val="18"/>
                <w:szCs w:val="18"/>
              </w:rPr>
              <w:t>Interest rate (initial response)</w:t>
            </w:r>
          </w:p>
        </w:tc>
      </w:tr>
      <w:tr w:rsidR="0079209C">
        <w:tc>
          <w:tcPr>
            <w:tcW w:w="1173" w:type="dxa"/>
          </w:tcPr>
          <w:p w:rsidR="0079209C" w:rsidRDefault="0079209C">
            <w:pPr>
              <w:spacing w:line="220" w:lineRule="atLeast"/>
              <w:rPr>
                <w:sz w:val="18"/>
                <w:szCs w:val="18"/>
              </w:rPr>
            </w:pPr>
            <w:r>
              <w:rPr>
                <w:sz w:val="18"/>
                <w:szCs w:val="18"/>
              </w:rPr>
              <w:t>Cost shock</w:t>
            </w:r>
          </w:p>
        </w:tc>
        <w:tc>
          <w:tcPr>
            <w:tcW w:w="2196" w:type="dxa"/>
          </w:tcPr>
          <w:p w:rsidR="0079209C" w:rsidRDefault="0079209C">
            <w:pPr>
              <w:spacing w:line="220" w:lineRule="atLeast"/>
              <w:rPr>
                <w:sz w:val="18"/>
                <w:szCs w:val="18"/>
              </w:rPr>
            </w:pPr>
            <w:r>
              <w:rPr>
                <w:sz w:val="18"/>
                <w:szCs w:val="18"/>
              </w:rPr>
              <w:t>Benchmark</w:t>
            </w:r>
          </w:p>
        </w:tc>
        <w:tc>
          <w:tcPr>
            <w:tcW w:w="1136" w:type="dxa"/>
          </w:tcPr>
          <w:p w:rsidR="0079209C" w:rsidRDefault="0079209C">
            <w:pPr>
              <w:spacing w:line="220" w:lineRule="atLeast"/>
              <w:rPr>
                <w:sz w:val="18"/>
                <w:szCs w:val="18"/>
              </w:rPr>
            </w:pPr>
            <w:r>
              <w:rPr>
                <w:sz w:val="18"/>
                <w:szCs w:val="18"/>
              </w:rPr>
              <w:t>0.58</w:t>
            </w:r>
          </w:p>
        </w:tc>
        <w:tc>
          <w:tcPr>
            <w:tcW w:w="1003" w:type="dxa"/>
          </w:tcPr>
          <w:p w:rsidR="0079209C" w:rsidRDefault="0079209C">
            <w:pPr>
              <w:spacing w:line="220" w:lineRule="atLeast"/>
              <w:jc w:val="both"/>
              <w:rPr>
                <w:sz w:val="18"/>
                <w:szCs w:val="18"/>
              </w:rPr>
            </w:pPr>
            <w:r>
              <w:rPr>
                <w:sz w:val="18"/>
                <w:szCs w:val="18"/>
              </w:rPr>
              <w:t>0.36</w:t>
            </w:r>
          </w:p>
        </w:tc>
        <w:tc>
          <w:tcPr>
            <w:tcW w:w="1043" w:type="dxa"/>
          </w:tcPr>
          <w:p w:rsidR="0079209C" w:rsidRDefault="0079209C">
            <w:pPr>
              <w:spacing w:line="220" w:lineRule="atLeast"/>
              <w:rPr>
                <w:sz w:val="18"/>
                <w:szCs w:val="18"/>
              </w:rPr>
            </w:pPr>
            <w:r>
              <w:rPr>
                <w:sz w:val="18"/>
                <w:szCs w:val="18"/>
              </w:rPr>
              <w:t>1.08</w:t>
            </w:r>
          </w:p>
        </w:tc>
        <w:tc>
          <w:tcPr>
            <w:tcW w:w="1230" w:type="dxa"/>
          </w:tcPr>
          <w:p w:rsidR="0079209C" w:rsidRDefault="0079209C">
            <w:pPr>
              <w:spacing w:line="220" w:lineRule="atLeast"/>
              <w:rPr>
                <w:sz w:val="18"/>
                <w:szCs w:val="18"/>
              </w:rPr>
            </w:pPr>
            <w:r>
              <w:rPr>
                <w:sz w:val="18"/>
                <w:szCs w:val="18"/>
              </w:rPr>
              <w:t>0.48 (-0.0174)</w:t>
            </w:r>
          </w:p>
        </w:tc>
        <w:tc>
          <w:tcPr>
            <w:tcW w:w="1327" w:type="dxa"/>
          </w:tcPr>
          <w:p w:rsidR="0079209C" w:rsidRDefault="0079209C">
            <w:pPr>
              <w:spacing w:line="220" w:lineRule="atLeast"/>
              <w:rPr>
                <w:sz w:val="18"/>
                <w:szCs w:val="18"/>
              </w:rPr>
            </w:pPr>
            <w:r>
              <w:rPr>
                <w:sz w:val="18"/>
                <w:szCs w:val="18"/>
              </w:rPr>
              <w:t>0.70 (0.0256)</w:t>
            </w:r>
          </w:p>
        </w:tc>
      </w:tr>
      <w:tr w:rsidR="0079209C">
        <w:tc>
          <w:tcPr>
            <w:tcW w:w="1173" w:type="dxa"/>
          </w:tcPr>
          <w:p w:rsidR="0079209C" w:rsidRDefault="0079209C">
            <w:pPr>
              <w:spacing w:line="220" w:lineRule="atLeast"/>
              <w:rPr>
                <w:sz w:val="18"/>
                <w:szCs w:val="18"/>
              </w:rPr>
            </w:pPr>
          </w:p>
        </w:tc>
        <w:tc>
          <w:tcPr>
            <w:tcW w:w="2196" w:type="dxa"/>
          </w:tcPr>
          <w:p w:rsidR="0079209C" w:rsidRDefault="0079209C">
            <w:pPr>
              <w:spacing w:line="220" w:lineRule="atLeast"/>
              <w:rPr>
                <w:sz w:val="18"/>
                <w:szCs w:val="18"/>
              </w:rPr>
            </w:pPr>
            <w:r>
              <w:rPr>
                <w:sz w:val="18"/>
                <w:szCs w:val="18"/>
              </w:rPr>
              <w:sym w:font="Symbol" w:char="F074"/>
            </w:r>
            <w:r>
              <w:rPr>
                <w:sz w:val="18"/>
                <w:szCs w:val="18"/>
                <w:vertAlign w:val="subscript"/>
              </w:rPr>
              <w:t>b</w:t>
            </w:r>
            <w:r>
              <w:rPr>
                <w:sz w:val="18"/>
                <w:szCs w:val="18"/>
              </w:rPr>
              <w:t>=0.1</w:t>
            </w:r>
          </w:p>
        </w:tc>
        <w:tc>
          <w:tcPr>
            <w:tcW w:w="1136" w:type="dxa"/>
          </w:tcPr>
          <w:p w:rsidR="0079209C" w:rsidRDefault="0079209C">
            <w:pPr>
              <w:spacing w:line="220" w:lineRule="atLeast"/>
              <w:rPr>
                <w:sz w:val="18"/>
                <w:szCs w:val="18"/>
              </w:rPr>
            </w:pPr>
            <w:r>
              <w:rPr>
                <w:sz w:val="18"/>
                <w:szCs w:val="18"/>
              </w:rPr>
              <w:t>0.58</w:t>
            </w:r>
          </w:p>
        </w:tc>
        <w:tc>
          <w:tcPr>
            <w:tcW w:w="1003" w:type="dxa"/>
          </w:tcPr>
          <w:p w:rsidR="0079209C" w:rsidRDefault="0079209C">
            <w:pPr>
              <w:spacing w:line="220" w:lineRule="atLeast"/>
              <w:rPr>
                <w:sz w:val="18"/>
                <w:szCs w:val="18"/>
              </w:rPr>
            </w:pPr>
            <w:r>
              <w:rPr>
                <w:sz w:val="18"/>
                <w:szCs w:val="18"/>
              </w:rPr>
              <w:t>0.36</w:t>
            </w:r>
          </w:p>
        </w:tc>
        <w:tc>
          <w:tcPr>
            <w:tcW w:w="1043" w:type="dxa"/>
          </w:tcPr>
          <w:p w:rsidR="0079209C" w:rsidRDefault="0079209C">
            <w:pPr>
              <w:spacing w:line="220" w:lineRule="atLeast"/>
              <w:rPr>
                <w:sz w:val="18"/>
                <w:szCs w:val="18"/>
              </w:rPr>
            </w:pPr>
            <w:r>
              <w:rPr>
                <w:sz w:val="18"/>
                <w:szCs w:val="18"/>
              </w:rPr>
              <w:t>1.08</w:t>
            </w:r>
          </w:p>
        </w:tc>
        <w:tc>
          <w:tcPr>
            <w:tcW w:w="1230" w:type="dxa"/>
          </w:tcPr>
          <w:p w:rsidR="0079209C" w:rsidRDefault="0079209C">
            <w:pPr>
              <w:spacing w:line="220" w:lineRule="atLeast"/>
              <w:rPr>
                <w:sz w:val="18"/>
                <w:szCs w:val="18"/>
              </w:rPr>
            </w:pPr>
            <w:r>
              <w:rPr>
                <w:sz w:val="18"/>
                <w:szCs w:val="18"/>
              </w:rPr>
              <w:t>0.45 (-0.0162)</w:t>
            </w:r>
          </w:p>
        </w:tc>
        <w:tc>
          <w:tcPr>
            <w:tcW w:w="1327" w:type="dxa"/>
          </w:tcPr>
          <w:p w:rsidR="0079209C" w:rsidRDefault="0079209C">
            <w:pPr>
              <w:spacing w:line="220" w:lineRule="atLeast"/>
              <w:rPr>
                <w:sz w:val="18"/>
                <w:szCs w:val="18"/>
              </w:rPr>
            </w:pPr>
            <w:r>
              <w:rPr>
                <w:sz w:val="18"/>
                <w:szCs w:val="18"/>
              </w:rPr>
              <w:t>0.70 (0.0256)</w:t>
            </w:r>
          </w:p>
        </w:tc>
      </w:tr>
      <w:tr w:rsidR="0079209C">
        <w:tc>
          <w:tcPr>
            <w:tcW w:w="1173" w:type="dxa"/>
          </w:tcPr>
          <w:p w:rsidR="0079209C" w:rsidRDefault="0079209C">
            <w:pPr>
              <w:spacing w:line="220" w:lineRule="atLeast"/>
              <w:rPr>
                <w:sz w:val="18"/>
                <w:szCs w:val="18"/>
              </w:rPr>
            </w:pPr>
          </w:p>
        </w:tc>
        <w:tc>
          <w:tcPr>
            <w:tcW w:w="2196" w:type="dxa"/>
          </w:tcPr>
          <w:p w:rsidR="0079209C" w:rsidRDefault="0079209C">
            <w:pPr>
              <w:spacing w:line="220" w:lineRule="atLeast"/>
              <w:rPr>
                <w:sz w:val="18"/>
                <w:szCs w:val="18"/>
              </w:rPr>
            </w:pPr>
            <w:r>
              <w:rPr>
                <w:sz w:val="18"/>
                <w:szCs w:val="18"/>
              </w:rPr>
              <w:t>g=0.008</w:t>
            </w:r>
          </w:p>
        </w:tc>
        <w:tc>
          <w:tcPr>
            <w:tcW w:w="1136" w:type="dxa"/>
          </w:tcPr>
          <w:p w:rsidR="0079209C" w:rsidRDefault="0079209C">
            <w:pPr>
              <w:spacing w:line="220" w:lineRule="atLeast"/>
              <w:rPr>
                <w:sz w:val="18"/>
                <w:szCs w:val="18"/>
              </w:rPr>
            </w:pPr>
            <w:r>
              <w:rPr>
                <w:sz w:val="18"/>
                <w:szCs w:val="18"/>
              </w:rPr>
              <w:t>0.58</w:t>
            </w:r>
          </w:p>
        </w:tc>
        <w:tc>
          <w:tcPr>
            <w:tcW w:w="1003" w:type="dxa"/>
          </w:tcPr>
          <w:p w:rsidR="0079209C" w:rsidRDefault="0079209C">
            <w:pPr>
              <w:spacing w:line="220" w:lineRule="atLeast"/>
              <w:rPr>
                <w:sz w:val="18"/>
                <w:szCs w:val="18"/>
              </w:rPr>
            </w:pPr>
            <w:r>
              <w:rPr>
                <w:sz w:val="18"/>
                <w:szCs w:val="18"/>
              </w:rPr>
              <w:t>0.36</w:t>
            </w:r>
          </w:p>
        </w:tc>
        <w:tc>
          <w:tcPr>
            <w:tcW w:w="1043" w:type="dxa"/>
          </w:tcPr>
          <w:p w:rsidR="0079209C" w:rsidRDefault="0079209C">
            <w:pPr>
              <w:spacing w:line="220" w:lineRule="atLeast"/>
              <w:rPr>
                <w:sz w:val="18"/>
                <w:szCs w:val="18"/>
              </w:rPr>
            </w:pPr>
            <w:r>
              <w:rPr>
                <w:sz w:val="18"/>
                <w:szCs w:val="18"/>
              </w:rPr>
              <w:t>1.08</w:t>
            </w:r>
          </w:p>
        </w:tc>
        <w:tc>
          <w:tcPr>
            <w:tcW w:w="1230" w:type="dxa"/>
          </w:tcPr>
          <w:p w:rsidR="0079209C" w:rsidRDefault="0079209C">
            <w:pPr>
              <w:spacing w:line="220" w:lineRule="atLeast"/>
              <w:rPr>
                <w:sz w:val="18"/>
                <w:szCs w:val="18"/>
              </w:rPr>
            </w:pPr>
            <w:r>
              <w:rPr>
                <w:sz w:val="18"/>
                <w:szCs w:val="18"/>
              </w:rPr>
              <w:t>0.47 (-0.0169)</w:t>
            </w:r>
          </w:p>
        </w:tc>
        <w:tc>
          <w:tcPr>
            <w:tcW w:w="1327" w:type="dxa"/>
          </w:tcPr>
          <w:p w:rsidR="0079209C" w:rsidRDefault="0079209C">
            <w:pPr>
              <w:spacing w:line="220" w:lineRule="atLeast"/>
              <w:rPr>
                <w:sz w:val="18"/>
                <w:szCs w:val="18"/>
              </w:rPr>
            </w:pPr>
            <w:r>
              <w:rPr>
                <w:sz w:val="18"/>
                <w:szCs w:val="18"/>
              </w:rPr>
              <w:t>0.70 (0.0256)</w:t>
            </w:r>
          </w:p>
        </w:tc>
      </w:tr>
      <w:tr w:rsidR="0079209C">
        <w:tc>
          <w:tcPr>
            <w:tcW w:w="1173" w:type="dxa"/>
          </w:tcPr>
          <w:p w:rsidR="0079209C" w:rsidRDefault="0079209C">
            <w:pPr>
              <w:spacing w:line="220" w:lineRule="atLeast"/>
              <w:rPr>
                <w:sz w:val="18"/>
                <w:szCs w:val="18"/>
              </w:rPr>
            </w:pPr>
          </w:p>
        </w:tc>
        <w:bookmarkStart w:id="1" w:name="OLE_LINK5"/>
        <w:tc>
          <w:tcPr>
            <w:tcW w:w="2196" w:type="dxa"/>
          </w:tcPr>
          <w:p w:rsidR="0079209C" w:rsidRDefault="0079209C">
            <w:pPr>
              <w:spacing w:line="220" w:lineRule="atLeast"/>
              <w:rPr>
                <w:sz w:val="18"/>
                <w:szCs w:val="18"/>
              </w:rPr>
            </w:pPr>
            <w:r w:rsidRPr="00F7160F">
              <w:rPr>
                <w:position w:val="-6"/>
                <w:sz w:val="18"/>
                <w:szCs w:val="18"/>
              </w:rPr>
              <w:object w:dxaOrig="220" w:dyaOrig="320">
                <v:shape id="_x0000_i1219" type="#_x0000_t75" style="width:9pt;height:12.75pt" o:ole="">
                  <v:imagedata r:id="rId368" o:title=""/>
                </v:shape>
                <o:OLEObject Type="Embed" ProgID="Equation.3" ShapeID="_x0000_i1219" DrawAspect="Content" ObjectID="_1410345359" r:id="rId369"/>
              </w:object>
            </w:r>
            <w:bookmarkEnd w:id="1"/>
            <w:r>
              <w:rPr>
                <w:sz w:val="18"/>
                <w:szCs w:val="18"/>
              </w:rPr>
              <w:t>=0.7</w:t>
            </w:r>
          </w:p>
        </w:tc>
        <w:tc>
          <w:tcPr>
            <w:tcW w:w="1136" w:type="dxa"/>
          </w:tcPr>
          <w:p w:rsidR="0079209C" w:rsidRDefault="0079209C">
            <w:pPr>
              <w:spacing w:line="220" w:lineRule="atLeast"/>
              <w:rPr>
                <w:sz w:val="18"/>
                <w:szCs w:val="18"/>
              </w:rPr>
            </w:pPr>
            <w:r>
              <w:rPr>
                <w:sz w:val="18"/>
                <w:szCs w:val="18"/>
              </w:rPr>
              <w:t>0.58</w:t>
            </w:r>
          </w:p>
        </w:tc>
        <w:tc>
          <w:tcPr>
            <w:tcW w:w="1003" w:type="dxa"/>
          </w:tcPr>
          <w:p w:rsidR="0079209C" w:rsidRDefault="0079209C">
            <w:pPr>
              <w:spacing w:line="220" w:lineRule="atLeast"/>
              <w:rPr>
                <w:sz w:val="18"/>
                <w:szCs w:val="18"/>
              </w:rPr>
            </w:pPr>
            <w:r>
              <w:rPr>
                <w:sz w:val="18"/>
                <w:szCs w:val="18"/>
              </w:rPr>
              <w:t>0.36</w:t>
            </w:r>
          </w:p>
        </w:tc>
        <w:tc>
          <w:tcPr>
            <w:tcW w:w="1043" w:type="dxa"/>
          </w:tcPr>
          <w:p w:rsidR="0079209C" w:rsidRDefault="0079209C">
            <w:pPr>
              <w:spacing w:line="220" w:lineRule="atLeast"/>
              <w:rPr>
                <w:sz w:val="18"/>
                <w:szCs w:val="18"/>
              </w:rPr>
            </w:pPr>
            <w:r>
              <w:rPr>
                <w:sz w:val="18"/>
                <w:szCs w:val="18"/>
              </w:rPr>
              <w:t>1.08</w:t>
            </w:r>
          </w:p>
        </w:tc>
        <w:tc>
          <w:tcPr>
            <w:tcW w:w="1230" w:type="dxa"/>
          </w:tcPr>
          <w:p w:rsidR="0079209C" w:rsidRDefault="0079209C">
            <w:pPr>
              <w:spacing w:line="220" w:lineRule="atLeast"/>
              <w:rPr>
                <w:sz w:val="18"/>
                <w:szCs w:val="18"/>
              </w:rPr>
            </w:pPr>
            <w:r>
              <w:rPr>
                <w:sz w:val="18"/>
                <w:szCs w:val="18"/>
              </w:rPr>
              <w:t>0.42 (-0.0151)</w:t>
            </w:r>
          </w:p>
        </w:tc>
        <w:tc>
          <w:tcPr>
            <w:tcW w:w="1327" w:type="dxa"/>
          </w:tcPr>
          <w:p w:rsidR="0079209C" w:rsidRDefault="0079209C">
            <w:pPr>
              <w:spacing w:line="220" w:lineRule="atLeast"/>
              <w:rPr>
                <w:sz w:val="18"/>
                <w:szCs w:val="18"/>
              </w:rPr>
            </w:pPr>
            <w:r>
              <w:rPr>
                <w:sz w:val="18"/>
                <w:szCs w:val="18"/>
              </w:rPr>
              <w:t>0.70 (0.0256)</w:t>
            </w:r>
          </w:p>
        </w:tc>
      </w:tr>
      <w:tr w:rsidR="0079209C">
        <w:tc>
          <w:tcPr>
            <w:tcW w:w="1173" w:type="dxa"/>
          </w:tcPr>
          <w:p w:rsidR="0079209C" w:rsidRDefault="0079209C">
            <w:pPr>
              <w:spacing w:line="220" w:lineRule="atLeast"/>
              <w:rPr>
                <w:sz w:val="18"/>
                <w:szCs w:val="18"/>
              </w:rPr>
            </w:pPr>
          </w:p>
        </w:tc>
        <w:tc>
          <w:tcPr>
            <w:tcW w:w="2196" w:type="dxa"/>
          </w:tcPr>
          <w:p w:rsidR="0079209C" w:rsidRDefault="0079209C">
            <w:pPr>
              <w:spacing w:line="220" w:lineRule="atLeast"/>
              <w:rPr>
                <w:sz w:val="18"/>
                <w:szCs w:val="18"/>
              </w:rPr>
            </w:pPr>
            <w:r>
              <w:rPr>
                <w:sz w:val="18"/>
                <w:szCs w:val="18"/>
              </w:rPr>
              <w:t>q</w:t>
            </w:r>
            <w:r>
              <w:rPr>
                <w:sz w:val="18"/>
                <w:szCs w:val="18"/>
                <w:vertAlign w:val="subscript"/>
              </w:rPr>
              <w:sym w:font="Symbol" w:char="F070"/>
            </w:r>
            <w:r>
              <w:rPr>
                <w:sz w:val="18"/>
                <w:szCs w:val="18"/>
              </w:rPr>
              <w:t>=1.1</w:t>
            </w:r>
          </w:p>
        </w:tc>
        <w:tc>
          <w:tcPr>
            <w:tcW w:w="1136" w:type="dxa"/>
          </w:tcPr>
          <w:p w:rsidR="0079209C" w:rsidRDefault="0079209C">
            <w:pPr>
              <w:spacing w:line="220" w:lineRule="atLeast"/>
              <w:rPr>
                <w:sz w:val="18"/>
                <w:szCs w:val="18"/>
              </w:rPr>
            </w:pPr>
            <w:r>
              <w:rPr>
                <w:sz w:val="18"/>
                <w:szCs w:val="18"/>
              </w:rPr>
              <w:t>0.71</w:t>
            </w:r>
          </w:p>
        </w:tc>
        <w:tc>
          <w:tcPr>
            <w:tcW w:w="1003" w:type="dxa"/>
          </w:tcPr>
          <w:p w:rsidR="0079209C" w:rsidRDefault="0079209C">
            <w:pPr>
              <w:spacing w:line="220" w:lineRule="atLeast"/>
              <w:rPr>
                <w:sz w:val="18"/>
                <w:szCs w:val="18"/>
              </w:rPr>
            </w:pPr>
            <w:r>
              <w:rPr>
                <w:sz w:val="18"/>
                <w:szCs w:val="18"/>
              </w:rPr>
              <w:t>0.18</w:t>
            </w:r>
          </w:p>
        </w:tc>
        <w:tc>
          <w:tcPr>
            <w:tcW w:w="1043" w:type="dxa"/>
          </w:tcPr>
          <w:p w:rsidR="0079209C" w:rsidRDefault="0079209C">
            <w:pPr>
              <w:spacing w:line="220" w:lineRule="atLeast"/>
              <w:rPr>
                <w:sz w:val="18"/>
                <w:szCs w:val="18"/>
              </w:rPr>
            </w:pPr>
            <w:r>
              <w:rPr>
                <w:sz w:val="18"/>
                <w:szCs w:val="18"/>
              </w:rPr>
              <w:t>1.21</w:t>
            </w:r>
          </w:p>
        </w:tc>
        <w:tc>
          <w:tcPr>
            <w:tcW w:w="1230" w:type="dxa"/>
          </w:tcPr>
          <w:p w:rsidR="0079209C" w:rsidRDefault="0079209C">
            <w:pPr>
              <w:spacing w:line="220" w:lineRule="atLeast"/>
              <w:rPr>
                <w:sz w:val="18"/>
                <w:szCs w:val="18"/>
              </w:rPr>
            </w:pPr>
            <w:r>
              <w:rPr>
                <w:sz w:val="18"/>
                <w:szCs w:val="18"/>
              </w:rPr>
              <w:t>0.16 (0.0056)</w:t>
            </w:r>
          </w:p>
        </w:tc>
        <w:tc>
          <w:tcPr>
            <w:tcW w:w="1327" w:type="dxa"/>
          </w:tcPr>
          <w:p w:rsidR="0079209C" w:rsidRDefault="0079209C">
            <w:pPr>
              <w:spacing w:line="220" w:lineRule="atLeast"/>
              <w:rPr>
                <w:sz w:val="18"/>
                <w:szCs w:val="18"/>
              </w:rPr>
            </w:pPr>
            <w:r>
              <w:rPr>
                <w:sz w:val="18"/>
                <w:szCs w:val="18"/>
              </w:rPr>
              <w:t>0.50 (0.0181)</w:t>
            </w:r>
          </w:p>
        </w:tc>
      </w:tr>
      <w:tr w:rsidR="0079209C">
        <w:tc>
          <w:tcPr>
            <w:tcW w:w="1173" w:type="dxa"/>
          </w:tcPr>
          <w:p w:rsidR="0079209C" w:rsidRDefault="0079209C">
            <w:pPr>
              <w:spacing w:line="220" w:lineRule="atLeast"/>
              <w:rPr>
                <w:sz w:val="18"/>
                <w:szCs w:val="18"/>
              </w:rPr>
            </w:pPr>
            <w:r>
              <w:rPr>
                <w:sz w:val="18"/>
                <w:szCs w:val="18"/>
              </w:rPr>
              <w:t>Natural rate shock   N</w:t>
            </w:r>
          </w:p>
        </w:tc>
        <w:tc>
          <w:tcPr>
            <w:tcW w:w="2196" w:type="dxa"/>
          </w:tcPr>
          <w:p w:rsidR="0079209C" w:rsidRDefault="0079209C">
            <w:pPr>
              <w:spacing w:line="220" w:lineRule="atLeast"/>
              <w:rPr>
                <w:sz w:val="18"/>
                <w:szCs w:val="18"/>
              </w:rPr>
            </w:pPr>
            <w:r>
              <w:rPr>
                <w:sz w:val="18"/>
                <w:szCs w:val="18"/>
              </w:rPr>
              <w:t xml:space="preserve">Benchmark </w:t>
            </w:r>
          </w:p>
        </w:tc>
        <w:tc>
          <w:tcPr>
            <w:tcW w:w="1136" w:type="dxa"/>
          </w:tcPr>
          <w:p w:rsidR="0079209C" w:rsidRDefault="0079209C">
            <w:pPr>
              <w:spacing w:line="220" w:lineRule="atLeast"/>
              <w:rPr>
                <w:sz w:val="18"/>
                <w:szCs w:val="18"/>
              </w:rPr>
            </w:pPr>
            <w:r>
              <w:rPr>
                <w:sz w:val="18"/>
                <w:szCs w:val="18"/>
              </w:rPr>
              <w:t>0.47</w:t>
            </w:r>
          </w:p>
        </w:tc>
        <w:tc>
          <w:tcPr>
            <w:tcW w:w="1003" w:type="dxa"/>
          </w:tcPr>
          <w:p w:rsidR="0079209C" w:rsidRDefault="0079209C">
            <w:pPr>
              <w:spacing w:line="220" w:lineRule="atLeast"/>
              <w:rPr>
                <w:sz w:val="18"/>
                <w:szCs w:val="18"/>
              </w:rPr>
            </w:pPr>
            <w:r>
              <w:rPr>
                <w:sz w:val="18"/>
                <w:szCs w:val="18"/>
              </w:rPr>
              <w:t>0.16</w:t>
            </w:r>
          </w:p>
        </w:tc>
        <w:tc>
          <w:tcPr>
            <w:tcW w:w="1043" w:type="dxa"/>
          </w:tcPr>
          <w:p w:rsidR="0079209C" w:rsidRDefault="0079209C">
            <w:pPr>
              <w:spacing w:line="220" w:lineRule="atLeast"/>
              <w:rPr>
                <w:sz w:val="18"/>
                <w:szCs w:val="18"/>
              </w:rPr>
            </w:pPr>
            <w:r>
              <w:rPr>
                <w:sz w:val="18"/>
                <w:szCs w:val="18"/>
              </w:rPr>
              <w:t>0.31</w:t>
            </w:r>
          </w:p>
        </w:tc>
        <w:tc>
          <w:tcPr>
            <w:tcW w:w="1230" w:type="dxa"/>
          </w:tcPr>
          <w:p w:rsidR="0079209C" w:rsidRDefault="0079209C">
            <w:pPr>
              <w:spacing w:line="220" w:lineRule="atLeast"/>
              <w:rPr>
                <w:sz w:val="18"/>
                <w:szCs w:val="18"/>
              </w:rPr>
            </w:pPr>
            <w:r>
              <w:rPr>
                <w:sz w:val="18"/>
                <w:szCs w:val="18"/>
              </w:rPr>
              <w:t>6.18 (0.2088)</w:t>
            </w:r>
          </w:p>
        </w:tc>
        <w:tc>
          <w:tcPr>
            <w:tcW w:w="1327" w:type="dxa"/>
          </w:tcPr>
          <w:p w:rsidR="0079209C" w:rsidRDefault="0079209C">
            <w:pPr>
              <w:spacing w:line="220" w:lineRule="atLeast"/>
              <w:rPr>
                <w:sz w:val="18"/>
                <w:szCs w:val="18"/>
              </w:rPr>
            </w:pPr>
            <w:r>
              <w:rPr>
                <w:sz w:val="18"/>
                <w:szCs w:val="18"/>
              </w:rPr>
              <w:t>0.39 (-0.0133)</w:t>
            </w:r>
          </w:p>
        </w:tc>
      </w:tr>
      <w:tr w:rsidR="0079209C">
        <w:tc>
          <w:tcPr>
            <w:tcW w:w="1173" w:type="dxa"/>
          </w:tcPr>
          <w:p w:rsidR="0079209C" w:rsidRDefault="0079209C">
            <w:pPr>
              <w:spacing w:line="220" w:lineRule="atLeast"/>
              <w:rPr>
                <w:sz w:val="18"/>
                <w:szCs w:val="18"/>
              </w:rPr>
            </w:pPr>
            <w:r>
              <w:rPr>
                <w:sz w:val="18"/>
                <w:szCs w:val="18"/>
              </w:rPr>
              <w:t>N1</w:t>
            </w:r>
          </w:p>
        </w:tc>
        <w:tc>
          <w:tcPr>
            <w:tcW w:w="2196" w:type="dxa"/>
          </w:tcPr>
          <w:p w:rsidR="0079209C" w:rsidRDefault="0079209C">
            <w:pPr>
              <w:spacing w:line="220" w:lineRule="atLeast"/>
              <w:rPr>
                <w:sz w:val="18"/>
                <w:szCs w:val="18"/>
              </w:rPr>
            </w:pPr>
            <w:r>
              <w:rPr>
                <w:sz w:val="18"/>
                <w:szCs w:val="18"/>
              </w:rPr>
              <w:sym w:font="Symbol" w:char="F074"/>
            </w:r>
            <w:r>
              <w:rPr>
                <w:sz w:val="18"/>
                <w:szCs w:val="18"/>
                <w:vertAlign w:val="subscript"/>
              </w:rPr>
              <w:t>b</w:t>
            </w:r>
            <w:r>
              <w:rPr>
                <w:sz w:val="18"/>
                <w:szCs w:val="18"/>
              </w:rPr>
              <w:t xml:space="preserve"> =0</w:t>
            </w:r>
          </w:p>
        </w:tc>
        <w:tc>
          <w:tcPr>
            <w:tcW w:w="1136" w:type="dxa"/>
          </w:tcPr>
          <w:p w:rsidR="0079209C" w:rsidRDefault="0079209C">
            <w:pPr>
              <w:spacing w:line="220" w:lineRule="atLeast"/>
              <w:rPr>
                <w:sz w:val="18"/>
                <w:szCs w:val="18"/>
              </w:rPr>
            </w:pPr>
            <w:r>
              <w:rPr>
                <w:sz w:val="18"/>
                <w:szCs w:val="18"/>
              </w:rPr>
              <w:t>0.47</w:t>
            </w:r>
          </w:p>
        </w:tc>
        <w:tc>
          <w:tcPr>
            <w:tcW w:w="1003" w:type="dxa"/>
          </w:tcPr>
          <w:p w:rsidR="0079209C" w:rsidRDefault="0079209C">
            <w:pPr>
              <w:spacing w:line="220" w:lineRule="atLeast"/>
              <w:rPr>
                <w:sz w:val="18"/>
                <w:szCs w:val="18"/>
              </w:rPr>
            </w:pPr>
            <w:r>
              <w:rPr>
                <w:sz w:val="18"/>
                <w:szCs w:val="18"/>
              </w:rPr>
              <w:t>0.16</w:t>
            </w:r>
          </w:p>
        </w:tc>
        <w:tc>
          <w:tcPr>
            <w:tcW w:w="1043" w:type="dxa"/>
          </w:tcPr>
          <w:p w:rsidR="0079209C" w:rsidRDefault="0079209C">
            <w:pPr>
              <w:spacing w:line="220" w:lineRule="atLeast"/>
              <w:rPr>
                <w:sz w:val="18"/>
                <w:szCs w:val="18"/>
              </w:rPr>
            </w:pPr>
            <w:r>
              <w:rPr>
                <w:sz w:val="18"/>
                <w:szCs w:val="18"/>
              </w:rPr>
              <w:t>0.31</w:t>
            </w:r>
          </w:p>
        </w:tc>
        <w:tc>
          <w:tcPr>
            <w:tcW w:w="1230" w:type="dxa"/>
          </w:tcPr>
          <w:p w:rsidR="0079209C" w:rsidRDefault="0079209C">
            <w:pPr>
              <w:spacing w:line="220" w:lineRule="atLeast"/>
              <w:rPr>
                <w:sz w:val="18"/>
                <w:szCs w:val="18"/>
              </w:rPr>
            </w:pPr>
            <w:r>
              <w:rPr>
                <w:sz w:val="18"/>
                <w:szCs w:val="18"/>
              </w:rPr>
              <w:t>2.20 (0.0745)</w:t>
            </w:r>
          </w:p>
        </w:tc>
        <w:tc>
          <w:tcPr>
            <w:tcW w:w="1327" w:type="dxa"/>
          </w:tcPr>
          <w:p w:rsidR="0079209C" w:rsidRDefault="0079209C">
            <w:pPr>
              <w:spacing w:line="220" w:lineRule="atLeast"/>
              <w:rPr>
                <w:sz w:val="18"/>
                <w:szCs w:val="18"/>
              </w:rPr>
            </w:pPr>
            <w:r>
              <w:rPr>
                <w:sz w:val="18"/>
                <w:szCs w:val="18"/>
              </w:rPr>
              <w:t>0.39 (-0.0133)</w:t>
            </w:r>
          </w:p>
        </w:tc>
      </w:tr>
      <w:tr w:rsidR="0079209C">
        <w:tc>
          <w:tcPr>
            <w:tcW w:w="1173" w:type="dxa"/>
          </w:tcPr>
          <w:p w:rsidR="0079209C" w:rsidRDefault="0079209C">
            <w:pPr>
              <w:spacing w:line="220" w:lineRule="atLeast"/>
              <w:rPr>
                <w:sz w:val="18"/>
                <w:szCs w:val="18"/>
              </w:rPr>
            </w:pPr>
            <w:r>
              <w:rPr>
                <w:sz w:val="18"/>
                <w:szCs w:val="18"/>
              </w:rPr>
              <w:t>N2</w:t>
            </w:r>
          </w:p>
        </w:tc>
        <w:tc>
          <w:tcPr>
            <w:tcW w:w="2196" w:type="dxa"/>
          </w:tcPr>
          <w:p w:rsidR="0079209C" w:rsidRDefault="0079209C">
            <w:pPr>
              <w:spacing w:line="220" w:lineRule="atLeast"/>
              <w:rPr>
                <w:sz w:val="18"/>
                <w:szCs w:val="18"/>
              </w:rPr>
            </w:pPr>
            <w:r>
              <w:rPr>
                <w:sz w:val="18"/>
                <w:szCs w:val="18"/>
              </w:rPr>
              <w:sym w:font="Symbol" w:char="F074"/>
            </w:r>
            <w:r>
              <w:rPr>
                <w:sz w:val="18"/>
                <w:szCs w:val="18"/>
                <w:vertAlign w:val="subscript"/>
              </w:rPr>
              <w:t>b</w:t>
            </w:r>
            <w:r>
              <w:rPr>
                <w:sz w:val="18"/>
                <w:szCs w:val="18"/>
              </w:rPr>
              <w:t xml:space="preserve"> =0.1</w:t>
            </w:r>
          </w:p>
        </w:tc>
        <w:tc>
          <w:tcPr>
            <w:tcW w:w="1136" w:type="dxa"/>
          </w:tcPr>
          <w:p w:rsidR="0079209C" w:rsidRDefault="0079209C">
            <w:pPr>
              <w:spacing w:line="220" w:lineRule="atLeast"/>
              <w:rPr>
                <w:sz w:val="18"/>
                <w:szCs w:val="18"/>
              </w:rPr>
            </w:pPr>
            <w:r>
              <w:rPr>
                <w:sz w:val="18"/>
                <w:szCs w:val="18"/>
              </w:rPr>
              <w:t>0.47</w:t>
            </w:r>
          </w:p>
        </w:tc>
        <w:tc>
          <w:tcPr>
            <w:tcW w:w="1003" w:type="dxa"/>
          </w:tcPr>
          <w:p w:rsidR="0079209C" w:rsidRDefault="0079209C">
            <w:pPr>
              <w:spacing w:line="220" w:lineRule="atLeast"/>
              <w:rPr>
                <w:sz w:val="18"/>
                <w:szCs w:val="18"/>
              </w:rPr>
            </w:pPr>
            <w:r>
              <w:rPr>
                <w:sz w:val="18"/>
                <w:szCs w:val="18"/>
              </w:rPr>
              <w:t>0.16</w:t>
            </w:r>
          </w:p>
        </w:tc>
        <w:tc>
          <w:tcPr>
            <w:tcW w:w="1043" w:type="dxa"/>
          </w:tcPr>
          <w:p w:rsidR="0079209C" w:rsidRDefault="0079209C">
            <w:pPr>
              <w:spacing w:line="220" w:lineRule="atLeast"/>
              <w:rPr>
                <w:sz w:val="18"/>
                <w:szCs w:val="18"/>
              </w:rPr>
            </w:pPr>
            <w:r>
              <w:rPr>
                <w:sz w:val="18"/>
                <w:szCs w:val="18"/>
              </w:rPr>
              <w:t>0.31</w:t>
            </w:r>
          </w:p>
        </w:tc>
        <w:tc>
          <w:tcPr>
            <w:tcW w:w="1230" w:type="dxa"/>
          </w:tcPr>
          <w:p w:rsidR="0079209C" w:rsidRDefault="0079209C">
            <w:pPr>
              <w:spacing w:line="220" w:lineRule="atLeast"/>
              <w:rPr>
                <w:sz w:val="18"/>
                <w:szCs w:val="18"/>
              </w:rPr>
            </w:pPr>
            <w:r>
              <w:rPr>
                <w:sz w:val="18"/>
                <w:szCs w:val="18"/>
              </w:rPr>
              <w:t>3.90 (0.1319)</w:t>
            </w:r>
          </w:p>
        </w:tc>
        <w:tc>
          <w:tcPr>
            <w:tcW w:w="1327" w:type="dxa"/>
          </w:tcPr>
          <w:p w:rsidR="0079209C" w:rsidRDefault="0079209C">
            <w:pPr>
              <w:spacing w:line="220" w:lineRule="atLeast"/>
              <w:rPr>
                <w:sz w:val="18"/>
                <w:szCs w:val="18"/>
              </w:rPr>
            </w:pPr>
            <w:r>
              <w:rPr>
                <w:sz w:val="18"/>
                <w:szCs w:val="18"/>
              </w:rPr>
              <w:t>0.39 (-0.0133)</w:t>
            </w:r>
          </w:p>
        </w:tc>
      </w:tr>
      <w:tr w:rsidR="0079209C">
        <w:tc>
          <w:tcPr>
            <w:tcW w:w="1173" w:type="dxa"/>
          </w:tcPr>
          <w:p w:rsidR="0079209C" w:rsidRDefault="0079209C">
            <w:pPr>
              <w:spacing w:line="220" w:lineRule="atLeast"/>
              <w:rPr>
                <w:sz w:val="18"/>
                <w:szCs w:val="18"/>
              </w:rPr>
            </w:pPr>
            <w:r>
              <w:rPr>
                <w:sz w:val="18"/>
                <w:szCs w:val="18"/>
              </w:rPr>
              <w:t>N3</w:t>
            </w:r>
          </w:p>
        </w:tc>
        <w:tc>
          <w:tcPr>
            <w:tcW w:w="2196" w:type="dxa"/>
          </w:tcPr>
          <w:p w:rsidR="0079209C" w:rsidRDefault="0079209C">
            <w:pPr>
              <w:spacing w:line="220" w:lineRule="atLeast"/>
              <w:rPr>
                <w:sz w:val="18"/>
                <w:szCs w:val="18"/>
              </w:rPr>
            </w:pPr>
            <w:r>
              <w:rPr>
                <w:sz w:val="18"/>
                <w:szCs w:val="18"/>
              </w:rPr>
              <w:t xml:space="preserve">qs=0.5, </w:t>
            </w:r>
            <w:r>
              <w:rPr>
                <w:sz w:val="18"/>
                <w:szCs w:val="18"/>
              </w:rPr>
              <w:sym w:font="Symbol" w:char="F074"/>
            </w:r>
            <w:r>
              <w:rPr>
                <w:sz w:val="18"/>
                <w:szCs w:val="18"/>
                <w:vertAlign w:val="subscript"/>
              </w:rPr>
              <w:t>b</w:t>
            </w:r>
            <w:r>
              <w:rPr>
                <w:sz w:val="18"/>
                <w:szCs w:val="18"/>
              </w:rPr>
              <w:t>=0</w:t>
            </w:r>
          </w:p>
        </w:tc>
        <w:tc>
          <w:tcPr>
            <w:tcW w:w="1136" w:type="dxa"/>
          </w:tcPr>
          <w:p w:rsidR="0079209C" w:rsidRDefault="0079209C">
            <w:pPr>
              <w:spacing w:line="220" w:lineRule="atLeast"/>
              <w:rPr>
                <w:sz w:val="18"/>
                <w:szCs w:val="18"/>
              </w:rPr>
            </w:pPr>
            <w:r>
              <w:rPr>
                <w:sz w:val="18"/>
                <w:szCs w:val="18"/>
              </w:rPr>
              <w:t>1.01</w:t>
            </w:r>
          </w:p>
        </w:tc>
        <w:tc>
          <w:tcPr>
            <w:tcW w:w="1003" w:type="dxa"/>
          </w:tcPr>
          <w:p w:rsidR="0079209C" w:rsidRDefault="0079209C">
            <w:pPr>
              <w:spacing w:line="220" w:lineRule="atLeast"/>
              <w:rPr>
                <w:sz w:val="18"/>
                <w:szCs w:val="18"/>
              </w:rPr>
            </w:pPr>
            <w:r>
              <w:rPr>
                <w:sz w:val="18"/>
                <w:szCs w:val="18"/>
              </w:rPr>
              <w:t>0.42</w:t>
            </w:r>
          </w:p>
        </w:tc>
        <w:tc>
          <w:tcPr>
            <w:tcW w:w="1043" w:type="dxa"/>
          </w:tcPr>
          <w:p w:rsidR="0079209C" w:rsidRDefault="0079209C">
            <w:pPr>
              <w:spacing w:line="220" w:lineRule="atLeast"/>
              <w:rPr>
                <w:sz w:val="18"/>
                <w:szCs w:val="18"/>
              </w:rPr>
            </w:pPr>
            <w:r>
              <w:rPr>
                <w:sz w:val="18"/>
                <w:szCs w:val="18"/>
              </w:rPr>
              <w:t>0.91</w:t>
            </w:r>
          </w:p>
        </w:tc>
        <w:tc>
          <w:tcPr>
            <w:tcW w:w="1230" w:type="dxa"/>
          </w:tcPr>
          <w:p w:rsidR="0079209C" w:rsidRDefault="0079209C">
            <w:pPr>
              <w:spacing w:line="220" w:lineRule="atLeast"/>
              <w:rPr>
                <w:sz w:val="18"/>
                <w:szCs w:val="18"/>
              </w:rPr>
            </w:pPr>
            <w:r>
              <w:rPr>
                <w:sz w:val="18"/>
                <w:szCs w:val="18"/>
              </w:rPr>
              <w:t>1.81 (0.0614)</w:t>
            </w:r>
          </w:p>
        </w:tc>
        <w:tc>
          <w:tcPr>
            <w:tcW w:w="1327" w:type="dxa"/>
          </w:tcPr>
          <w:p w:rsidR="0079209C" w:rsidRDefault="0079209C">
            <w:pPr>
              <w:spacing w:line="220" w:lineRule="atLeast"/>
              <w:rPr>
                <w:sz w:val="18"/>
                <w:szCs w:val="18"/>
              </w:rPr>
            </w:pPr>
            <w:r>
              <w:rPr>
                <w:sz w:val="18"/>
                <w:szCs w:val="18"/>
              </w:rPr>
              <w:t>0.82 (-0.0276)</w:t>
            </w:r>
          </w:p>
        </w:tc>
      </w:tr>
      <w:tr w:rsidR="0079209C">
        <w:tc>
          <w:tcPr>
            <w:tcW w:w="1173" w:type="dxa"/>
          </w:tcPr>
          <w:p w:rsidR="0079209C" w:rsidRDefault="0079209C">
            <w:pPr>
              <w:spacing w:line="220" w:lineRule="atLeast"/>
              <w:rPr>
                <w:sz w:val="18"/>
                <w:szCs w:val="18"/>
              </w:rPr>
            </w:pPr>
            <w:r>
              <w:rPr>
                <w:sz w:val="18"/>
                <w:szCs w:val="18"/>
              </w:rPr>
              <w:t>N4</w:t>
            </w:r>
          </w:p>
        </w:tc>
        <w:tc>
          <w:tcPr>
            <w:tcW w:w="2196" w:type="dxa"/>
          </w:tcPr>
          <w:p w:rsidR="0079209C" w:rsidRDefault="0079209C">
            <w:pPr>
              <w:spacing w:line="220" w:lineRule="atLeast"/>
              <w:rPr>
                <w:color w:val="000000"/>
                <w:sz w:val="18"/>
                <w:szCs w:val="18"/>
              </w:rPr>
            </w:pPr>
            <w:r>
              <w:rPr>
                <w:sz w:val="18"/>
                <w:szCs w:val="18"/>
              </w:rPr>
              <w:t>q</w:t>
            </w:r>
            <w:r>
              <w:rPr>
                <w:sz w:val="18"/>
                <w:szCs w:val="18"/>
                <w:vertAlign w:val="subscript"/>
              </w:rPr>
              <w:sym w:font="Symbol" w:char="F070"/>
            </w:r>
            <w:r>
              <w:rPr>
                <w:sz w:val="18"/>
                <w:szCs w:val="18"/>
              </w:rPr>
              <w:t>= 1.1</w:t>
            </w:r>
          </w:p>
        </w:tc>
        <w:tc>
          <w:tcPr>
            <w:tcW w:w="1136" w:type="dxa"/>
          </w:tcPr>
          <w:p w:rsidR="0079209C" w:rsidRDefault="0079209C">
            <w:pPr>
              <w:spacing w:line="220" w:lineRule="atLeast"/>
              <w:rPr>
                <w:color w:val="000000"/>
                <w:sz w:val="18"/>
                <w:szCs w:val="18"/>
              </w:rPr>
            </w:pPr>
            <w:r>
              <w:rPr>
                <w:color w:val="000000"/>
                <w:sz w:val="18"/>
                <w:szCs w:val="18"/>
              </w:rPr>
              <w:t>1.04</w:t>
            </w:r>
          </w:p>
        </w:tc>
        <w:tc>
          <w:tcPr>
            <w:tcW w:w="1003" w:type="dxa"/>
          </w:tcPr>
          <w:p w:rsidR="0079209C" w:rsidRDefault="0079209C">
            <w:pPr>
              <w:spacing w:line="220" w:lineRule="atLeast"/>
              <w:rPr>
                <w:color w:val="000000"/>
                <w:sz w:val="18"/>
                <w:szCs w:val="18"/>
              </w:rPr>
            </w:pPr>
            <w:r>
              <w:rPr>
                <w:color w:val="000000"/>
                <w:sz w:val="18"/>
                <w:szCs w:val="18"/>
              </w:rPr>
              <w:t>0.46</w:t>
            </w:r>
          </w:p>
        </w:tc>
        <w:tc>
          <w:tcPr>
            <w:tcW w:w="1043" w:type="dxa"/>
          </w:tcPr>
          <w:p w:rsidR="0079209C" w:rsidRDefault="0079209C">
            <w:pPr>
              <w:spacing w:line="220" w:lineRule="atLeast"/>
              <w:rPr>
                <w:color w:val="000000"/>
                <w:sz w:val="18"/>
                <w:szCs w:val="18"/>
              </w:rPr>
            </w:pPr>
            <w:r>
              <w:rPr>
                <w:color w:val="000000"/>
                <w:sz w:val="18"/>
                <w:szCs w:val="18"/>
              </w:rPr>
              <w:t>0.97</w:t>
            </w:r>
          </w:p>
        </w:tc>
        <w:tc>
          <w:tcPr>
            <w:tcW w:w="1230" w:type="dxa"/>
          </w:tcPr>
          <w:p w:rsidR="0079209C" w:rsidRDefault="0079209C">
            <w:pPr>
              <w:spacing w:line="220" w:lineRule="atLeast"/>
              <w:rPr>
                <w:color w:val="000000"/>
                <w:sz w:val="18"/>
                <w:szCs w:val="18"/>
              </w:rPr>
            </w:pPr>
            <w:r>
              <w:rPr>
                <w:color w:val="000000"/>
                <w:sz w:val="18"/>
                <w:szCs w:val="18"/>
              </w:rPr>
              <w:t>5.12 (0.1730)</w:t>
            </w:r>
          </w:p>
        </w:tc>
        <w:tc>
          <w:tcPr>
            <w:tcW w:w="1327" w:type="dxa"/>
          </w:tcPr>
          <w:p w:rsidR="0079209C" w:rsidRDefault="0079209C">
            <w:pPr>
              <w:spacing w:line="220" w:lineRule="atLeast"/>
              <w:rPr>
                <w:color w:val="000000"/>
                <w:sz w:val="18"/>
                <w:szCs w:val="18"/>
              </w:rPr>
            </w:pPr>
            <w:r>
              <w:rPr>
                <w:color w:val="000000"/>
                <w:sz w:val="18"/>
                <w:szCs w:val="18"/>
              </w:rPr>
              <w:t>0.83 (-0.0279)</w:t>
            </w:r>
          </w:p>
        </w:tc>
      </w:tr>
      <w:tr w:rsidR="0079209C">
        <w:tc>
          <w:tcPr>
            <w:tcW w:w="1173" w:type="dxa"/>
          </w:tcPr>
          <w:p w:rsidR="0079209C" w:rsidRDefault="0079209C">
            <w:pPr>
              <w:spacing w:line="220" w:lineRule="atLeast"/>
              <w:rPr>
                <w:sz w:val="18"/>
                <w:szCs w:val="18"/>
              </w:rPr>
            </w:pPr>
            <w:r>
              <w:rPr>
                <w:sz w:val="18"/>
                <w:szCs w:val="18"/>
              </w:rPr>
              <w:t>N5</w:t>
            </w:r>
          </w:p>
        </w:tc>
        <w:tc>
          <w:tcPr>
            <w:tcW w:w="2196" w:type="dxa"/>
          </w:tcPr>
          <w:p w:rsidR="0079209C" w:rsidRDefault="0079209C">
            <w:pPr>
              <w:tabs>
                <w:tab w:val="num" w:pos="720"/>
              </w:tabs>
              <w:spacing w:line="220" w:lineRule="atLeast"/>
              <w:rPr>
                <w:color w:val="000000"/>
                <w:sz w:val="18"/>
                <w:szCs w:val="18"/>
              </w:rPr>
            </w:pPr>
            <w:r w:rsidRPr="00F7160F">
              <w:rPr>
                <w:position w:val="-6"/>
                <w:sz w:val="18"/>
                <w:szCs w:val="18"/>
              </w:rPr>
              <w:object w:dxaOrig="220" w:dyaOrig="320">
                <v:shape id="_x0000_i1220" type="#_x0000_t75" style="width:9pt;height:12.75pt" o:ole="" o:bullet="t">
                  <v:imagedata r:id="rId368" o:title=""/>
                </v:shape>
                <o:OLEObject Type="Embed" ProgID="Equation.3" ShapeID="_x0000_i1220" DrawAspect="Content" ObjectID="_1410345360" r:id="rId370"/>
              </w:object>
            </w:r>
            <w:r>
              <w:rPr>
                <w:sz w:val="18"/>
                <w:szCs w:val="18"/>
              </w:rPr>
              <w:t>=0.9</w:t>
            </w:r>
          </w:p>
        </w:tc>
        <w:tc>
          <w:tcPr>
            <w:tcW w:w="1136" w:type="dxa"/>
          </w:tcPr>
          <w:p w:rsidR="0079209C" w:rsidRDefault="0079209C">
            <w:pPr>
              <w:spacing w:line="220" w:lineRule="atLeast"/>
              <w:rPr>
                <w:sz w:val="18"/>
                <w:szCs w:val="18"/>
              </w:rPr>
            </w:pPr>
            <w:r>
              <w:rPr>
                <w:sz w:val="18"/>
                <w:szCs w:val="18"/>
              </w:rPr>
              <w:t>0.47</w:t>
            </w:r>
          </w:p>
        </w:tc>
        <w:tc>
          <w:tcPr>
            <w:tcW w:w="1003" w:type="dxa"/>
          </w:tcPr>
          <w:p w:rsidR="0079209C" w:rsidRDefault="0079209C">
            <w:pPr>
              <w:spacing w:line="220" w:lineRule="atLeast"/>
              <w:rPr>
                <w:sz w:val="18"/>
                <w:szCs w:val="18"/>
              </w:rPr>
            </w:pPr>
            <w:r>
              <w:rPr>
                <w:sz w:val="18"/>
                <w:szCs w:val="18"/>
              </w:rPr>
              <w:t>0.16</w:t>
            </w:r>
          </w:p>
        </w:tc>
        <w:tc>
          <w:tcPr>
            <w:tcW w:w="1043" w:type="dxa"/>
          </w:tcPr>
          <w:p w:rsidR="0079209C" w:rsidRDefault="0079209C">
            <w:pPr>
              <w:spacing w:line="220" w:lineRule="atLeast"/>
              <w:rPr>
                <w:sz w:val="18"/>
                <w:szCs w:val="18"/>
              </w:rPr>
            </w:pPr>
            <w:r>
              <w:rPr>
                <w:sz w:val="18"/>
                <w:szCs w:val="18"/>
              </w:rPr>
              <w:t>0.31</w:t>
            </w:r>
          </w:p>
        </w:tc>
        <w:tc>
          <w:tcPr>
            <w:tcW w:w="1230" w:type="dxa"/>
          </w:tcPr>
          <w:p w:rsidR="0079209C" w:rsidRDefault="0079209C">
            <w:pPr>
              <w:spacing w:line="220" w:lineRule="atLeast"/>
              <w:rPr>
                <w:sz w:val="18"/>
                <w:szCs w:val="18"/>
              </w:rPr>
            </w:pPr>
            <w:r>
              <w:rPr>
                <w:sz w:val="18"/>
                <w:szCs w:val="18"/>
              </w:rPr>
              <w:t>7.27 (0.2456)</w:t>
            </w:r>
          </w:p>
        </w:tc>
        <w:tc>
          <w:tcPr>
            <w:tcW w:w="1327" w:type="dxa"/>
          </w:tcPr>
          <w:p w:rsidR="0079209C" w:rsidRDefault="0079209C">
            <w:pPr>
              <w:spacing w:line="220" w:lineRule="atLeast"/>
              <w:rPr>
                <w:sz w:val="18"/>
                <w:szCs w:val="18"/>
              </w:rPr>
            </w:pPr>
            <w:r>
              <w:rPr>
                <w:sz w:val="18"/>
                <w:szCs w:val="18"/>
              </w:rPr>
              <w:t>0.39 (-0.0133)</w:t>
            </w:r>
          </w:p>
        </w:tc>
      </w:tr>
      <w:tr w:rsidR="0079209C">
        <w:tc>
          <w:tcPr>
            <w:tcW w:w="1173" w:type="dxa"/>
          </w:tcPr>
          <w:p w:rsidR="0079209C" w:rsidRDefault="0079209C">
            <w:pPr>
              <w:spacing w:line="220" w:lineRule="atLeast"/>
              <w:rPr>
                <w:sz w:val="18"/>
                <w:szCs w:val="18"/>
              </w:rPr>
            </w:pPr>
            <w:r>
              <w:rPr>
                <w:sz w:val="18"/>
                <w:szCs w:val="18"/>
              </w:rPr>
              <w:t>N6</w:t>
            </w:r>
          </w:p>
        </w:tc>
        <w:tc>
          <w:tcPr>
            <w:tcW w:w="2196" w:type="dxa"/>
          </w:tcPr>
          <w:p w:rsidR="0079209C" w:rsidRDefault="0079209C">
            <w:pPr>
              <w:spacing w:line="220" w:lineRule="atLeast"/>
              <w:rPr>
                <w:sz w:val="18"/>
                <w:szCs w:val="18"/>
              </w:rPr>
            </w:pPr>
            <w:r>
              <w:rPr>
                <w:sz w:val="18"/>
                <w:szCs w:val="18"/>
              </w:rPr>
              <w:t>g= 0.004</w:t>
            </w:r>
          </w:p>
        </w:tc>
        <w:tc>
          <w:tcPr>
            <w:tcW w:w="1136" w:type="dxa"/>
          </w:tcPr>
          <w:p w:rsidR="0079209C" w:rsidRDefault="0079209C">
            <w:pPr>
              <w:spacing w:line="220" w:lineRule="atLeast"/>
              <w:rPr>
                <w:sz w:val="18"/>
                <w:szCs w:val="18"/>
              </w:rPr>
            </w:pPr>
            <w:r>
              <w:rPr>
                <w:sz w:val="18"/>
                <w:szCs w:val="18"/>
              </w:rPr>
              <w:t>0.47</w:t>
            </w:r>
          </w:p>
        </w:tc>
        <w:tc>
          <w:tcPr>
            <w:tcW w:w="1003" w:type="dxa"/>
          </w:tcPr>
          <w:p w:rsidR="0079209C" w:rsidRDefault="0079209C">
            <w:pPr>
              <w:spacing w:line="220" w:lineRule="atLeast"/>
              <w:rPr>
                <w:sz w:val="18"/>
                <w:szCs w:val="18"/>
              </w:rPr>
            </w:pPr>
            <w:r>
              <w:rPr>
                <w:sz w:val="18"/>
                <w:szCs w:val="18"/>
              </w:rPr>
              <w:t>0.16</w:t>
            </w:r>
          </w:p>
        </w:tc>
        <w:tc>
          <w:tcPr>
            <w:tcW w:w="1043" w:type="dxa"/>
          </w:tcPr>
          <w:p w:rsidR="0079209C" w:rsidRDefault="0079209C">
            <w:pPr>
              <w:spacing w:line="220" w:lineRule="atLeast"/>
              <w:rPr>
                <w:sz w:val="18"/>
                <w:szCs w:val="18"/>
              </w:rPr>
            </w:pPr>
            <w:r>
              <w:rPr>
                <w:sz w:val="18"/>
                <w:szCs w:val="18"/>
              </w:rPr>
              <w:t>0.31</w:t>
            </w:r>
          </w:p>
        </w:tc>
        <w:tc>
          <w:tcPr>
            <w:tcW w:w="1230" w:type="dxa"/>
          </w:tcPr>
          <w:p w:rsidR="0079209C" w:rsidRDefault="0079209C">
            <w:pPr>
              <w:spacing w:line="220" w:lineRule="atLeast"/>
              <w:rPr>
                <w:sz w:val="18"/>
                <w:szCs w:val="18"/>
              </w:rPr>
            </w:pPr>
            <w:r>
              <w:rPr>
                <w:sz w:val="18"/>
                <w:szCs w:val="18"/>
              </w:rPr>
              <w:t>5.36 (0.1813)</w:t>
            </w:r>
          </w:p>
        </w:tc>
        <w:tc>
          <w:tcPr>
            <w:tcW w:w="1327" w:type="dxa"/>
          </w:tcPr>
          <w:p w:rsidR="0079209C" w:rsidRDefault="0079209C">
            <w:pPr>
              <w:spacing w:line="220" w:lineRule="atLeast"/>
              <w:rPr>
                <w:sz w:val="18"/>
                <w:szCs w:val="18"/>
              </w:rPr>
            </w:pPr>
            <w:r>
              <w:rPr>
                <w:sz w:val="18"/>
                <w:szCs w:val="18"/>
              </w:rPr>
              <w:t>0.39 (-0.0133)</w:t>
            </w:r>
          </w:p>
        </w:tc>
      </w:tr>
      <w:tr w:rsidR="0079209C">
        <w:tc>
          <w:tcPr>
            <w:tcW w:w="1173" w:type="dxa"/>
          </w:tcPr>
          <w:p w:rsidR="0079209C" w:rsidRDefault="0079209C">
            <w:pPr>
              <w:spacing w:line="220" w:lineRule="atLeast"/>
              <w:rPr>
                <w:sz w:val="18"/>
                <w:szCs w:val="18"/>
              </w:rPr>
            </w:pPr>
            <w:r w:rsidRPr="00F7160F">
              <w:rPr>
                <w:position w:val="-6"/>
                <w:sz w:val="18"/>
                <w:szCs w:val="18"/>
              </w:rPr>
              <w:object w:dxaOrig="260" w:dyaOrig="340">
                <v:shape id="_x0000_i1221" type="#_x0000_t75" style="width:12pt;height:16.5pt" o:ole="">
                  <v:imagedata r:id="rId371" o:title=""/>
                </v:shape>
                <o:OLEObject Type="Embed" ProgID="Equation.3" ShapeID="_x0000_i1221" DrawAspect="Content" ObjectID="_1410345361" r:id="rId372"/>
              </w:object>
            </w:r>
            <w:r>
              <w:rPr>
                <w:sz w:val="18"/>
                <w:szCs w:val="18"/>
              </w:rPr>
              <w:t xml:space="preserve"> shock G1</w:t>
            </w:r>
          </w:p>
        </w:tc>
        <w:tc>
          <w:tcPr>
            <w:tcW w:w="2196" w:type="dxa"/>
          </w:tcPr>
          <w:p w:rsidR="0079209C" w:rsidRDefault="0079209C">
            <w:pPr>
              <w:spacing w:line="220" w:lineRule="atLeast"/>
              <w:rPr>
                <w:sz w:val="18"/>
                <w:szCs w:val="18"/>
              </w:rPr>
            </w:pPr>
            <w:r>
              <w:rPr>
                <w:sz w:val="18"/>
                <w:szCs w:val="18"/>
              </w:rPr>
              <w:t xml:space="preserve">Persistence= 0.25 </w:t>
            </w:r>
          </w:p>
        </w:tc>
        <w:tc>
          <w:tcPr>
            <w:tcW w:w="1136" w:type="dxa"/>
          </w:tcPr>
          <w:p w:rsidR="0079209C" w:rsidRDefault="0079209C">
            <w:pPr>
              <w:spacing w:line="220" w:lineRule="atLeast"/>
              <w:rPr>
                <w:color w:val="000000"/>
                <w:sz w:val="18"/>
                <w:szCs w:val="18"/>
              </w:rPr>
            </w:pPr>
            <w:r>
              <w:rPr>
                <w:color w:val="000000"/>
                <w:sz w:val="18"/>
                <w:szCs w:val="18"/>
              </w:rPr>
              <w:t>0.00</w:t>
            </w:r>
          </w:p>
        </w:tc>
        <w:tc>
          <w:tcPr>
            <w:tcW w:w="1003" w:type="dxa"/>
          </w:tcPr>
          <w:p w:rsidR="0079209C" w:rsidRDefault="0079209C">
            <w:pPr>
              <w:spacing w:line="220" w:lineRule="atLeast"/>
              <w:rPr>
                <w:color w:val="000000"/>
                <w:sz w:val="18"/>
                <w:szCs w:val="18"/>
              </w:rPr>
            </w:pPr>
            <w:r>
              <w:rPr>
                <w:color w:val="000000"/>
                <w:sz w:val="18"/>
                <w:szCs w:val="18"/>
              </w:rPr>
              <w:t>0.01</w:t>
            </w:r>
          </w:p>
        </w:tc>
        <w:tc>
          <w:tcPr>
            <w:tcW w:w="1043" w:type="dxa"/>
          </w:tcPr>
          <w:p w:rsidR="0079209C" w:rsidRDefault="0079209C">
            <w:pPr>
              <w:spacing w:line="220" w:lineRule="atLeast"/>
              <w:rPr>
                <w:color w:val="000000"/>
                <w:sz w:val="18"/>
                <w:szCs w:val="18"/>
              </w:rPr>
            </w:pPr>
            <w:r>
              <w:rPr>
                <w:color w:val="000000"/>
                <w:sz w:val="18"/>
                <w:szCs w:val="18"/>
              </w:rPr>
              <w:t>0.00</w:t>
            </w:r>
          </w:p>
        </w:tc>
        <w:tc>
          <w:tcPr>
            <w:tcW w:w="1230" w:type="dxa"/>
          </w:tcPr>
          <w:p w:rsidR="0079209C" w:rsidRDefault="0079209C">
            <w:pPr>
              <w:spacing w:line="220" w:lineRule="atLeast"/>
              <w:rPr>
                <w:color w:val="000000"/>
                <w:sz w:val="18"/>
                <w:szCs w:val="18"/>
              </w:rPr>
            </w:pPr>
            <w:r>
              <w:rPr>
                <w:color w:val="000000"/>
                <w:sz w:val="18"/>
                <w:szCs w:val="18"/>
              </w:rPr>
              <w:t>1.14             (-0.0412)</w:t>
            </w:r>
          </w:p>
        </w:tc>
        <w:tc>
          <w:tcPr>
            <w:tcW w:w="1327" w:type="dxa"/>
          </w:tcPr>
          <w:p w:rsidR="0079209C" w:rsidRDefault="0079209C">
            <w:pPr>
              <w:spacing w:line="220" w:lineRule="atLeast"/>
              <w:rPr>
                <w:color w:val="000000"/>
                <w:sz w:val="18"/>
                <w:szCs w:val="18"/>
              </w:rPr>
            </w:pPr>
            <w:r>
              <w:rPr>
                <w:color w:val="000000"/>
                <w:sz w:val="18"/>
                <w:szCs w:val="18"/>
              </w:rPr>
              <w:t>0.00 (0.0000)</w:t>
            </w:r>
          </w:p>
        </w:tc>
      </w:tr>
      <w:tr w:rsidR="0079209C">
        <w:tc>
          <w:tcPr>
            <w:tcW w:w="1173" w:type="dxa"/>
          </w:tcPr>
          <w:p w:rsidR="0079209C" w:rsidRDefault="0079209C">
            <w:pPr>
              <w:spacing w:line="220" w:lineRule="atLeast"/>
              <w:rPr>
                <w:sz w:val="18"/>
                <w:szCs w:val="18"/>
              </w:rPr>
            </w:pPr>
            <w:r>
              <w:rPr>
                <w:sz w:val="18"/>
                <w:szCs w:val="18"/>
              </w:rPr>
              <w:t>G2</w:t>
            </w:r>
          </w:p>
          <w:p w:rsidR="0079209C" w:rsidRDefault="0079209C">
            <w:pPr>
              <w:spacing w:line="220" w:lineRule="atLeast"/>
              <w:rPr>
                <w:sz w:val="18"/>
                <w:szCs w:val="18"/>
              </w:rPr>
            </w:pPr>
          </w:p>
        </w:tc>
        <w:tc>
          <w:tcPr>
            <w:tcW w:w="2196" w:type="dxa"/>
          </w:tcPr>
          <w:p w:rsidR="0079209C" w:rsidRDefault="0079209C">
            <w:pPr>
              <w:spacing w:line="220" w:lineRule="atLeast"/>
              <w:rPr>
                <w:sz w:val="18"/>
                <w:szCs w:val="18"/>
              </w:rPr>
            </w:pPr>
            <w:r>
              <w:rPr>
                <w:sz w:val="18"/>
                <w:szCs w:val="18"/>
              </w:rPr>
              <w:t>Persistence =0.85, q</w:t>
            </w:r>
            <w:r>
              <w:rPr>
                <w:sz w:val="18"/>
                <w:szCs w:val="18"/>
                <w:vertAlign w:val="subscript"/>
              </w:rPr>
              <w:sym w:font="Symbol" w:char="F070"/>
            </w:r>
            <w:r>
              <w:rPr>
                <w:sz w:val="18"/>
                <w:szCs w:val="18"/>
              </w:rPr>
              <w:t xml:space="preserve"> = 1.1</w:t>
            </w:r>
          </w:p>
        </w:tc>
        <w:tc>
          <w:tcPr>
            <w:tcW w:w="1136" w:type="dxa"/>
          </w:tcPr>
          <w:p w:rsidR="0079209C" w:rsidRDefault="0079209C">
            <w:pPr>
              <w:spacing w:line="220" w:lineRule="atLeast"/>
              <w:rPr>
                <w:color w:val="000000"/>
                <w:sz w:val="18"/>
                <w:szCs w:val="18"/>
              </w:rPr>
            </w:pPr>
            <w:r>
              <w:rPr>
                <w:color w:val="000000"/>
                <w:sz w:val="18"/>
                <w:szCs w:val="18"/>
              </w:rPr>
              <w:t>80.07</w:t>
            </w:r>
          </w:p>
        </w:tc>
        <w:tc>
          <w:tcPr>
            <w:tcW w:w="1003" w:type="dxa"/>
          </w:tcPr>
          <w:p w:rsidR="0079209C" w:rsidRDefault="0079209C">
            <w:pPr>
              <w:spacing w:line="220" w:lineRule="atLeast"/>
              <w:rPr>
                <w:color w:val="000000"/>
                <w:sz w:val="18"/>
                <w:szCs w:val="18"/>
              </w:rPr>
            </w:pPr>
            <w:r>
              <w:rPr>
                <w:color w:val="000000"/>
                <w:sz w:val="18"/>
                <w:szCs w:val="18"/>
              </w:rPr>
              <w:t>14.40</w:t>
            </w:r>
          </w:p>
        </w:tc>
        <w:tc>
          <w:tcPr>
            <w:tcW w:w="1043" w:type="dxa"/>
          </w:tcPr>
          <w:p w:rsidR="0079209C" w:rsidRDefault="0079209C">
            <w:pPr>
              <w:spacing w:line="220" w:lineRule="atLeast"/>
              <w:rPr>
                <w:color w:val="000000"/>
                <w:sz w:val="18"/>
                <w:szCs w:val="18"/>
              </w:rPr>
            </w:pPr>
            <w:r>
              <w:rPr>
                <w:color w:val="000000"/>
                <w:sz w:val="18"/>
                <w:szCs w:val="18"/>
              </w:rPr>
              <w:t>42.38</w:t>
            </w:r>
          </w:p>
        </w:tc>
        <w:tc>
          <w:tcPr>
            <w:tcW w:w="1230" w:type="dxa"/>
          </w:tcPr>
          <w:p w:rsidR="0079209C" w:rsidRDefault="0079209C">
            <w:pPr>
              <w:spacing w:line="220" w:lineRule="atLeast"/>
              <w:rPr>
                <w:color w:val="000000"/>
                <w:sz w:val="18"/>
                <w:szCs w:val="18"/>
              </w:rPr>
            </w:pPr>
            <w:r>
              <w:rPr>
                <w:color w:val="000000"/>
                <w:sz w:val="18"/>
                <w:szCs w:val="18"/>
              </w:rPr>
              <w:t>251.63          (-9.6890)</w:t>
            </w:r>
          </w:p>
        </w:tc>
        <w:tc>
          <w:tcPr>
            <w:tcW w:w="1327" w:type="dxa"/>
          </w:tcPr>
          <w:p w:rsidR="0079209C" w:rsidRDefault="0079209C">
            <w:pPr>
              <w:spacing w:line="220" w:lineRule="atLeast"/>
              <w:rPr>
                <w:color w:val="000000"/>
                <w:sz w:val="18"/>
                <w:szCs w:val="18"/>
              </w:rPr>
            </w:pPr>
            <w:r>
              <w:rPr>
                <w:color w:val="000000"/>
                <w:sz w:val="18"/>
                <w:szCs w:val="18"/>
              </w:rPr>
              <w:t>37.48 (-1.4167)</w:t>
            </w:r>
          </w:p>
        </w:tc>
      </w:tr>
      <w:tr w:rsidR="0079209C">
        <w:tc>
          <w:tcPr>
            <w:tcW w:w="1173" w:type="dxa"/>
          </w:tcPr>
          <w:p w:rsidR="0079209C" w:rsidRDefault="0079209C">
            <w:pPr>
              <w:spacing w:line="220" w:lineRule="atLeast"/>
              <w:rPr>
                <w:sz w:val="18"/>
                <w:szCs w:val="18"/>
              </w:rPr>
            </w:pPr>
            <w:r>
              <w:rPr>
                <w:sz w:val="18"/>
                <w:szCs w:val="18"/>
              </w:rPr>
              <w:t>G3</w:t>
            </w:r>
          </w:p>
        </w:tc>
        <w:tc>
          <w:tcPr>
            <w:tcW w:w="2196" w:type="dxa"/>
          </w:tcPr>
          <w:p w:rsidR="0079209C" w:rsidRDefault="0079209C">
            <w:pPr>
              <w:spacing w:line="220" w:lineRule="atLeast"/>
              <w:rPr>
                <w:sz w:val="18"/>
                <w:szCs w:val="18"/>
              </w:rPr>
            </w:pPr>
            <w:r>
              <w:rPr>
                <w:sz w:val="18"/>
                <w:szCs w:val="18"/>
              </w:rPr>
              <w:t>Persistence = 0.85</w:t>
            </w:r>
          </w:p>
        </w:tc>
        <w:tc>
          <w:tcPr>
            <w:tcW w:w="1136" w:type="dxa"/>
          </w:tcPr>
          <w:p w:rsidR="0079209C" w:rsidRDefault="0079209C">
            <w:pPr>
              <w:spacing w:line="220" w:lineRule="atLeast"/>
              <w:rPr>
                <w:color w:val="000000"/>
                <w:sz w:val="18"/>
                <w:szCs w:val="18"/>
              </w:rPr>
            </w:pPr>
            <w:r>
              <w:rPr>
                <w:color w:val="000000"/>
                <w:sz w:val="18"/>
                <w:szCs w:val="18"/>
              </w:rPr>
              <w:t>87.47</w:t>
            </w:r>
          </w:p>
        </w:tc>
        <w:tc>
          <w:tcPr>
            <w:tcW w:w="1003" w:type="dxa"/>
          </w:tcPr>
          <w:p w:rsidR="0079209C" w:rsidRDefault="0079209C">
            <w:pPr>
              <w:spacing w:line="220" w:lineRule="atLeast"/>
              <w:rPr>
                <w:color w:val="000000"/>
                <w:sz w:val="18"/>
                <w:szCs w:val="18"/>
              </w:rPr>
            </w:pPr>
            <w:r>
              <w:rPr>
                <w:color w:val="000000"/>
                <w:sz w:val="18"/>
                <w:szCs w:val="18"/>
              </w:rPr>
              <w:t>08.67</w:t>
            </w:r>
          </w:p>
        </w:tc>
        <w:tc>
          <w:tcPr>
            <w:tcW w:w="1043" w:type="dxa"/>
          </w:tcPr>
          <w:p w:rsidR="0079209C" w:rsidRDefault="0079209C">
            <w:pPr>
              <w:spacing w:line="220" w:lineRule="atLeast"/>
              <w:rPr>
                <w:color w:val="000000"/>
                <w:sz w:val="18"/>
                <w:szCs w:val="18"/>
              </w:rPr>
            </w:pPr>
            <w:r>
              <w:rPr>
                <w:color w:val="000000"/>
                <w:sz w:val="18"/>
                <w:szCs w:val="18"/>
              </w:rPr>
              <w:t>28.19</w:t>
            </w:r>
          </w:p>
        </w:tc>
        <w:tc>
          <w:tcPr>
            <w:tcW w:w="1230" w:type="dxa"/>
          </w:tcPr>
          <w:p w:rsidR="0079209C" w:rsidRDefault="0079209C">
            <w:pPr>
              <w:spacing w:line="220" w:lineRule="atLeast"/>
              <w:rPr>
                <w:color w:val="000000"/>
                <w:sz w:val="18"/>
                <w:szCs w:val="18"/>
              </w:rPr>
            </w:pPr>
            <w:r>
              <w:rPr>
                <w:color w:val="000000"/>
                <w:sz w:val="18"/>
                <w:szCs w:val="18"/>
              </w:rPr>
              <w:t>935.66          (-3.5970)</w:t>
            </w:r>
          </w:p>
        </w:tc>
        <w:tc>
          <w:tcPr>
            <w:tcW w:w="1327" w:type="dxa"/>
          </w:tcPr>
          <w:p w:rsidR="0079209C" w:rsidRDefault="0079209C">
            <w:pPr>
              <w:spacing w:line="220" w:lineRule="atLeast"/>
              <w:rPr>
                <w:color w:val="000000"/>
                <w:sz w:val="18"/>
                <w:szCs w:val="18"/>
              </w:rPr>
            </w:pPr>
            <w:r>
              <w:rPr>
                <w:color w:val="000000"/>
                <w:sz w:val="18"/>
                <w:szCs w:val="18"/>
              </w:rPr>
              <w:t>37.65 (-0.1389)</w:t>
            </w:r>
          </w:p>
        </w:tc>
      </w:tr>
      <w:tr w:rsidR="0079209C">
        <w:tc>
          <w:tcPr>
            <w:tcW w:w="1173" w:type="dxa"/>
          </w:tcPr>
          <w:p w:rsidR="0079209C" w:rsidRDefault="0079209C">
            <w:pPr>
              <w:spacing w:line="220" w:lineRule="atLeast"/>
              <w:rPr>
                <w:sz w:val="18"/>
                <w:szCs w:val="18"/>
              </w:rPr>
            </w:pPr>
            <w:r>
              <w:rPr>
                <w:sz w:val="18"/>
                <w:szCs w:val="18"/>
              </w:rPr>
              <w:t>G4</w:t>
            </w:r>
          </w:p>
        </w:tc>
        <w:tc>
          <w:tcPr>
            <w:tcW w:w="2196" w:type="dxa"/>
          </w:tcPr>
          <w:p w:rsidR="0079209C" w:rsidRDefault="0079209C">
            <w:pPr>
              <w:spacing w:line="220" w:lineRule="atLeast"/>
              <w:rPr>
                <w:sz w:val="18"/>
                <w:szCs w:val="18"/>
              </w:rPr>
            </w:pPr>
            <w:r>
              <w:rPr>
                <w:sz w:val="18"/>
                <w:szCs w:val="18"/>
              </w:rPr>
              <w:t xml:space="preserve">Persistence = 0.85, </w:t>
            </w:r>
            <w:r>
              <w:rPr>
                <w:sz w:val="18"/>
                <w:szCs w:val="18"/>
              </w:rPr>
              <w:sym w:font="Symbol" w:char="F074"/>
            </w:r>
            <w:r>
              <w:rPr>
                <w:sz w:val="18"/>
                <w:szCs w:val="18"/>
                <w:vertAlign w:val="subscript"/>
              </w:rPr>
              <w:t>b</w:t>
            </w:r>
            <w:r>
              <w:rPr>
                <w:sz w:val="18"/>
                <w:szCs w:val="18"/>
              </w:rPr>
              <w:t xml:space="preserve"> = 0</w:t>
            </w:r>
          </w:p>
        </w:tc>
        <w:tc>
          <w:tcPr>
            <w:tcW w:w="1136" w:type="dxa"/>
          </w:tcPr>
          <w:p w:rsidR="0079209C" w:rsidRDefault="0079209C">
            <w:pPr>
              <w:spacing w:line="220" w:lineRule="atLeast"/>
              <w:rPr>
                <w:color w:val="000000"/>
                <w:sz w:val="18"/>
                <w:szCs w:val="18"/>
              </w:rPr>
            </w:pPr>
            <w:r>
              <w:rPr>
                <w:color w:val="000000"/>
                <w:sz w:val="18"/>
                <w:szCs w:val="18"/>
              </w:rPr>
              <w:t>01.15</w:t>
            </w:r>
          </w:p>
        </w:tc>
        <w:tc>
          <w:tcPr>
            <w:tcW w:w="1003" w:type="dxa"/>
          </w:tcPr>
          <w:p w:rsidR="0079209C" w:rsidRDefault="0079209C">
            <w:pPr>
              <w:spacing w:line="220" w:lineRule="atLeast"/>
              <w:rPr>
                <w:color w:val="000000"/>
                <w:sz w:val="18"/>
                <w:szCs w:val="18"/>
              </w:rPr>
            </w:pPr>
            <w:r>
              <w:rPr>
                <w:color w:val="000000"/>
                <w:sz w:val="18"/>
                <w:szCs w:val="18"/>
              </w:rPr>
              <w:t>0.12</w:t>
            </w:r>
          </w:p>
        </w:tc>
        <w:tc>
          <w:tcPr>
            <w:tcW w:w="1043" w:type="dxa"/>
          </w:tcPr>
          <w:p w:rsidR="0079209C" w:rsidRDefault="0079209C">
            <w:pPr>
              <w:spacing w:line="220" w:lineRule="atLeast"/>
              <w:rPr>
                <w:color w:val="000000"/>
                <w:sz w:val="18"/>
                <w:szCs w:val="18"/>
              </w:rPr>
            </w:pPr>
            <w:r>
              <w:rPr>
                <w:color w:val="000000"/>
                <w:sz w:val="18"/>
                <w:szCs w:val="18"/>
              </w:rPr>
              <w:t>0.42</w:t>
            </w:r>
          </w:p>
        </w:tc>
        <w:tc>
          <w:tcPr>
            <w:tcW w:w="1230" w:type="dxa"/>
          </w:tcPr>
          <w:p w:rsidR="0079209C" w:rsidRDefault="0079209C">
            <w:pPr>
              <w:spacing w:line="220" w:lineRule="atLeast"/>
              <w:rPr>
                <w:color w:val="000000"/>
                <w:sz w:val="18"/>
                <w:szCs w:val="18"/>
              </w:rPr>
            </w:pPr>
            <w:r>
              <w:rPr>
                <w:color w:val="000000"/>
                <w:sz w:val="18"/>
                <w:szCs w:val="18"/>
              </w:rPr>
              <w:t>14.43             (-0.5551)</w:t>
            </w:r>
          </w:p>
        </w:tc>
        <w:tc>
          <w:tcPr>
            <w:tcW w:w="1327" w:type="dxa"/>
          </w:tcPr>
          <w:p w:rsidR="0079209C" w:rsidRDefault="0079209C">
            <w:pPr>
              <w:spacing w:line="220" w:lineRule="atLeast"/>
              <w:rPr>
                <w:color w:val="000000"/>
                <w:sz w:val="18"/>
                <w:szCs w:val="18"/>
              </w:rPr>
            </w:pPr>
            <w:r>
              <w:rPr>
                <w:color w:val="000000"/>
                <w:sz w:val="18"/>
                <w:szCs w:val="18"/>
              </w:rPr>
              <w:t>0.56 (-0.0204)</w:t>
            </w:r>
          </w:p>
        </w:tc>
      </w:tr>
    </w:tbl>
    <w:p w:rsidR="0079209C" w:rsidRDefault="0079209C"/>
    <w:p w:rsidR="0079209C" w:rsidRDefault="0079209C"/>
    <w:p w:rsidR="0079209C" w:rsidRDefault="00E31CC2">
      <w:pPr>
        <w:pStyle w:val="FootnoteText"/>
        <w:spacing w:line="360" w:lineRule="auto"/>
        <w:jc w:val="center"/>
        <w:rPr>
          <w:noProof/>
          <w:sz w:val="24"/>
          <w:szCs w:val="24"/>
        </w:rPr>
      </w:pPr>
      <w:r w:rsidRPr="008E1438">
        <w:rPr>
          <w:noProof/>
          <w:sz w:val="24"/>
          <w:szCs w:val="24"/>
        </w:rPr>
        <w:pict>
          <v:shape id="_x0000_i1222" type="#_x0000_t75" style="width:284.25pt;height:226.5pt">
            <v:imagedata r:id="rId373" o:title=""/>
          </v:shape>
        </w:pict>
      </w:r>
    </w:p>
    <w:p w:rsidR="0079209C" w:rsidRDefault="0079209C">
      <w:pPr>
        <w:pStyle w:val="FootnoteText"/>
        <w:spacing w:line="360" w:lineRule="auto"/>
        <w:rPr>
          <w:noProof/>
          <w:sz w:val="24"/>
          <w:szCs w:val="24"/>
        </w:rPr>
      </w:pPr>
    </w:p>
    <w:p w:rsidR="0079209C" w:rsidRDefault="0079209C">
      <w:pPr>
        <w:pStyle w:val="FootnoteText"/>
        <w:spacing w:line="360" w:lineRule="auto"/>
        <w:rPr>
          <w:noProof/>
          <w:sz w:val="24"/>
          <w:szCs w:val="24"/>
        </w:rPr>
      </w:pPr>
    </w:p>
    <w:p w:rsidR="0079209C" w:rsidRDefault="00E31CC2">
      <w:pPr>
        <w:pStyle w:val="FootnoteText"/>
        <w:spacing w:line="360" w:lineRule="auto"/>
        <w:jc w:val="center"/>
        <w:rPr>
          <w:noProof/>
          <w:sz w:val="24"/>
          <w:szCs w:val="24"/>
        </w:rPr>
      </w:pPr>
      <w:r w:rsidRPr="008E1438">
        <w:rPr>
          <w:noProof/>
          <w:sz w:val="24"/>
          <w:szCs w:val="24"/>
        </w:rPr>
        <w:lastRenderedPageBreak/>
        <w:pict>
          <v:shape id="Object 3" o:spid="_x0000_i1223" type="#_x0000_t75" style="width:289.5pt;height:234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">
            <v:imagedata r:id="rId374" o:title="" croptop="-2319f" cropbottom="-1210f" cropleft="-1431f" cropright="-1612f"/>
            <o:lock v:ext="edit" aspectratio="f"/>
          </v:shape>
        </w:pict>
      </w:r>
    </w:p>
    <w:p w:rsidR="0079209C" w:rsidRDefault="0079209C">
      <w:pPr>
        <w:pStyle w:val="FootnoteText"/>
        <w:spacing w:line="360" w:lineRule="auto"/>
        <w:jc w:val="center"/>
        <w:rPr>
          <w:noProof/>
          <w:sz w:val="24"/>
          <w:szCs w:val="24"/>
        </w:rPr>
      </w:pPr>
    </w:p>
    <w:p w:rsidR="0079209C" w:rsidRDefault="0079209C">
      <w:pPr>
        <w:pStyle w:val="FootnoteText"/>
        <w:spacing w:line="360" w:lineRule="auto"/>
        <w:jc w:val="center"/>
        <w:rPr>
          <w:noProof/>
          <w:sz w:val="24"/>
          <w:szCs w:val="24"/>
        </w:rPr>
      </w:pPr>
    </w:p>
    <w:p w:rsidR="0079209C" w:rsidRDefault="0079209C">
      <w:pPr>
        <w:pStyle w:val="FootnoteText"/>
        <w:spacing w:line="360" w:lineRule="auto"/>
        <w:jc w:val="center"/>
        <w:rPr>
          <w:noProof/>
          <w:sz w:val="24"/>
          <w:szCs w:val="24"/>
        </w:rPr>
      </w:pPr>
    </w:p>
    <w:p w:rsidR="0079209C" w:rsidRDefault="0079209C">
      <w:pPr>
        <w:spacing w:line="360" w:lineRule="auto"/>
      </w:pPr>
    </w:p>
    <w:sectPr w:rsidR="0079209C" w:rsidSect="00D145C3">
      <w:footerReference w:type="even" r:id="rId375"/>
      <w:footerReference w:type="default" r:id="rId376"/>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A10" w:rsidRDefault="00540A10">
      <w:r>
        <w:separator/>
      </w:r>
    </w:p>
  </w:endnote>
  <w:endnote w:type="continuationSeparator" w:id="1">
    <w:p w:rsidR="00540A10" w:rsidRDefault="00540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C2" w:rsidRDefault="00E31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CC2" w:rsidRDefault="00E31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C2" w:rsidRDefault="00E31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528D">
      <w:rPr>
        <w:rStyle w:val="PageNumber"/>
        <w:noProof/>
      </w:rPr>
      <w:t>30</w:t>
    </w:r>
    <w:r>
      <w:rPr>
        <w:rStyle w:val="PageNumber"/>
      </w:rPr>
      <w:fldChar w:fldCharType="end"/>
    </w:r>
  </w:p>
  <w:p w:rsidR="00E31CC2" w:rsidRDefault="00E31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A10" w:rsidRDefault="00540A10">
      <w:r>
        <w:separator/>
      </w:r>
    </w:p>
  </w:footnote>
  <w:footnote w:type="continuationSeparator" w:id="1">
    <w:p w:rsidR="00540A10" w:rsidRDefault="00540A10">
      <w:r>
        <w:continuationSeparator/>
      </w:r>
    </w:p>
  </w:footnote>
  <w:footnote w:id="2">
    <w:p w:rsidR="00E31CC2" w:rsidRDefault="00E31CC2" w:rsidP="00896C2C">
      <w:pPr>
        <w:pStyle w:val="FootnoteText"/>
      </w:pPr>
      <w:r w:rsidRPr="00F40378">
        <w:rPr>
          <w:rStyle w:val="FootnoteReference"/>
        </w:rPr>
        <w:sym w:font="Symbol" w:char="F02A"/>
      </w:r>
      <w:r>
        <w:t xml:space="preserve"> The paper is a revised version of IGIDR WP-2012-004. We thank Reshma Aguiar for help with the word processing.</w:t>
      </w:r>
    </w:p>
  </w:footnote>
  <w:footnote w:id="3">
    <w:p w:rsidR="00E31CC2" w:rsidRDefault="00E31CC2">
      <w:pPr>
        <w:pStyle w:val="FootnoteText"/>
      </w:pPr>
      <w:r>
        <w:rPr>
          <w:rStyle w:val="FootnoteReference"/>
        </w:rPr>
        <w:footnoteRef/>
      </w:r>
      <w:r>
        <w:t xml:space="preserve"> See Gal</w:t>
      </w:r>
      <w:r w:rsidR="008C67B5">
        <w:rPr>
          <w:rStyle w:val="txt"/>
        </w:rPr>
        <w:t>í</w:t>
      </w:r>
      <w:r>
        <w:t xml:space="preserve"> and Monacelli (2005), Goyal (2011a).</w:t>
      </w:r>
    </w:p>
  </w:footnote>
  <w:footnote w:id="4">
    <w:p w:rsidR="00E31CC2" w:rsidRDefault="00E31CC2">
      <w:pPr>
        <w:pStyle w:val="FootnoteText"/>
      </w:pPr>
      <w:r>
        <w:rPr>
          <w:rStyle w:val="FootnoteReference"/>
        </w:rPr>
        <w:footnoteRef/>
      </w:r>
      <w:r>
        <w:t xml:space="preserve">  In order to simplify the derivations </w:t>
      </w:r>
      <w:r>
        <w:sym w:font="Symbol" w:char="F067"/>
      </w:r>
      <w:r>
        <w:rPr>
          <w:vertAlign w:val="subscript"/>
        </w:rPr>
        <w:t>f</w:t>
      </w:r>
      <w:r>
        <w:t xml:space="preserve"> is taken as equal to 1.</w:t>
      </w:r>
    </w:p>
  </w:footnote>
  <w:footnote w:id="5">
    <w:p w:rsidR="00E31CC2" w:rsidRPr="002E5089" w:rsidRDefault="00E31CC2" w:rsidP="002E5089">
      <w:pPr>
        <w:rPr>
          <w:sz w:val="20"/>
          <w:szCs w:val="20"/>
        </w:rPr>
      </w:pPr>
      <w:r w:rsidRPr="00C25F3E">
        <w:rPr>
          <w:rStyle w:val="FootnoteReference"/>
          <w:sz w:val="20"/>
          <w:szCs w:val="20"/>
        </w:rPr>
        <w:footnoteRef/>
      </w:r>
      <w:r w:rsidRPr="00C25F3E">
        <w:rPr>
          <w:sz w:val="20"/>
          <w:szCs w:val="20"/>
        </w:rPr>
        <w:t xml:space="preserve"> The stability condition for a two equation difference system is determinant A &gt; 0, and determinant A+ trace A&gt;-1 when the system is written in the form </w:t>
      </w:r>
      <w:r w:rsidRPr="00C25F3E">
        <w:rPr>
          <w:position w:val="-12"/>
          <w:sz w:val="20"/>
          <w:szCs w:val="20"/>
        </w:rPr>
        <w:object w:dxaOrig="2060" w:dyaOrig="360">
          <v:shape id="_x0000_i1233" type="#_x0000_t75" style="width:102.75pt;height:18pt" o:ole="">
            <v:imagedata r:id="rId1" o:title=""/>
          </v:shape>
          <o:OLEObject Type="Embed" ProgID="Equation.3" ShapeID="_x0000_i1233" DrawAspect="Content" ObjectID="_1410345362" r:id="rId2"/>
        </w:object>
      </w:r>
      <w:r w:rsidR="002E5089">
        <w:rPr>
          <w:sz w:val="20"/>
          <w:szCs w:val="20"/>
        </w:rPr>
        <w:t xml:space="preserve"> (see Woodford, 2003).</w:t>
      </w:r>
    </w:p>
  </w:footnote>
  <w:footnote w:id="6">
    <w:p w:rsidR="00E31CC2" w:rsidRDefault="00E31CC2">
      <w:pPr>
        <w:pStyle w:val="FootnoteText"/>
      </w:pPr>
      <w:r>
        <w:rPr>
          <w:rStyle w:val="FootnoteReference"/>
        </w:rPr>
        <w:footnoteRef/>
      </w:r>
      <w:r>
        <w:t xml:space="preserve"> A reaction function differs from the objective function or policy rule in that it gives the final weight on the CB objectives after the constraints subject to which the optimization is done, or to which the rule is applied, are taken into account.</w:t>
      </w:r>
    </w:p>
  </w:footnote>
  <w:footnote w:id="7">
    <w:p w:rsidR="00E31CC2" w:rsidRDefault="00E31CC2">
      <w:pPr>
        <w:pStyle w:val="FootnoteText"/>
      </w:pPr>
      <w:r>
        <w:rPr>
          <w:rStyle w:val="FootnoteReference"/>
        </w:rPr>
        <w:footnoteRef/>
      </w:r>
      <w:r>
        <w:t xml:space="preserve">Stability is discussed in Bullard and Mitra (2002), Blanchard and Kahn (1980), Woodford (2003), Gali (2008). Hoy et al. </w:t>
      </w:r>
      <w:r w:rsidR="00E65791">
        <w:t>(2004</w:t>
      </w:r>
      <w:r w:rsidR="001C5ABA">
        <w:t>, pp. 831</w:t>
      </w:r>
      <w:r w:rsidR="00E65791">
        <w:t xml:space="preserve">) </w:t>
      </w:r>
      <w:r>
        <w:t xml:space="preserve">list three conditions for the </w:t>
      </w:r>
      <w:r w:rsidRPr="00A4650D">
        <w:t xml:space="preserve">system </w:t>
      </w:r>
      <w:r>
        <w:t>to be</w:t>
      </w:r>
      <w:r w:rsidRPr="00A4650D">
        <w:t xml:space="preserve"> locally unique</w:t>
      </w:r>
      <w:r>
        <w:t>. These are (16) and (17) and a third</w:t>
      </w:r>
      <w:r>
        <w:rPr>
          <w:rFonts w:eastAsiaTheme="minorEastAsia"/>
        </w:rPr>
        <w:t xml:space="preserve"> A – B &gt; -1 which </w:t>
      </w:r>
      <w:r>
        <w:t>is satisfied trivially.</w:t>
      </w:r>
    </w:p>
  </w:footnote>
  <w:footnote w:id="8">
    <w:p w:rsidR="00E31CC2" w:rsidRDefault="00E31CC2" w:rsidP="00D71F77">
      <w:pPr>
        <w:pStyle w:val="FootnoteText"/>
      </w:pPr>
      <w:r>
        <w:rPr>
          <w:rStyle w:val="FootnoteReference"/>
        </w:rPr>
        <w:footnoteRef/>
      </w:r>
      <w:r>
        <w:t xml:space="preserve"> In the benchmark optimizing calibrations the upper bound for </w:t>
      </w:r>
      <w:r w:rsidRPr="00F7160F">
        <w:rPr>
          <w:position w:val="-12"/>
        </w:rPr>
        <w:object w:dxaOrig="260" w:dyaOrig="360">
          <v:shape id="_x0000_i1234" type="#_x0000_t75" style="width:12.75pt;height:18pt" o:ole="">
            <v:imagedata r:id="rId3" o:title=""/>
          </v:shape>
          <o:OLEObject Type="Embed" ProgID="Equation.3" ShapeID="_x0000_i1234" DrawAspect="Content" ObjectID="_1410345363" r:id="rId4"/>
        </w:object>
      </w:r>
      <w:r>
        <w:t xml:space="preserve"> is 34.1 from condition (20) so this condition is satisfied. However, the lower cap from condition (19), which is not satisfied is -1.5. The cap on  </w:t>
      </w:r>
      <w:r w:rsidRPr="00461436">
        <w:rPr>
          <w:position w:val="-12"/>
        </w:rPr>
        <w:object w:dxaOrig="279" w:dyaOrig="360">
          <v:shape id="_x0000_i1235" type="#_x0000_t75" style="width:14.25pt;height:18pt" o:ole="">
            <v:imagedata r:id="rId5" o:title=""/>
          </v:shape>
          <o:OLEObject Type="Embed" ProgID="Equation.3" ShapeID="_x0000_i1235" DrawAspect="Content" ObjectID="_1410345364" r:id="rId6"/>
        </w:object>
      </w:r>
      <w:r w:rsidR="00E65791">
        <w:t xml:space="preserve">, </w:t>
      </w:r>
      <w:r>
        <w:t>-2.3</w:t>
      </w:r>
      <w:r w:rsidR="005333AF">
        <w:t>,</w:t>
      </w:r>
      <w:r>
        <w:t xml:space="preserve"> is also not satisfied.</w:t>
      </w:r>
    </w:p>
    <w:p w:rsidR="00E31CC2" w:rsidRDefault="00E31CC2" w:rsidP="00D71F77">
      <w:pPr>
        <w:pStyle w:val="FootnoteText"/>
      </w:pPr>
    </w:p>
  </w:footnote>
  <w:footnote w:id="9">
    <w:p w:rsidR="00E31CC2" w:rsidRDefault="00E31CC2">
      <w:pPr>
        <w:pStyle w:val="FootnoteText"/>
      </w:pPr>
      <w:r>
        <w:rPr>
          <w:rStyle w:val="FootnoteReference"/>
        </w:rPr>
        <w:footnoteRef/>
      </w:r>
      <w:r>
        <w:t xml:space="preserve"> The treatment in this section follows Woodford (2003), Chapter 4, Section 4, and Goyal (2011b).</w:t>
      </w:r>
    </w:p>
  </w:footnote>
  <w:footnote w:id="10">
    <w:p w:rsidR="00E31CC2" w:rsidRDefault="00E31CC2">
      <w:pPr>
        <w:pStyle w:val="FootnoteText"/>
      </w:pPr>
      <w:r>
        <w:rPr>
          <w:rStyle w:val="FootnoteReference"/>
        </w:rPr>
        <w:footnoteRef/>
      </w:r>
      <w:r>
        <w:t xml:space="preserve"> In benchmark simulations (Goyal 2010), the value of</w:t>
      </w:r>
      <w:r w:rsidRPr="00AC703B">
        <w:rPr>
          <w:position w:val="-12"/>
        </w:rPr>
        <w:object w:dxaOrig="3240" w:dyaOrig="380">
          <v:shape id="_x0000_i1236" type="#_x0000_t75" style="width:151.5pt;height:17.25pt" o:ole="">
            <v:imagedata r:id="rId7" o:title=""/>
          </v:shape>
          <o:OLEObject Type="Embed" ProgID="Equation.3" ShapeID="_x0000_i1236" DrawAspect="Content" ObjectID="_1410345365" r:id="rId8"/>
        </w:object>
      </w:r>
      <w:r>
        <w:fldChar w:fldCharType="begin"/>
      </w:r>
      <w:r>
        <w:instrText xml:space="preserve"> QUOTE </w:instrText>
      </w:r>
      <w:r w:rsidRPr="008E1438">
        <w:rPr>
          <w:position w:val="-11"/>
        </w:rPr>
        <w:pict>
          <v:shape id="_x0000_i1237" type="#_x0000_t75" style="width:174pt;height:17.25pt" equationxml="&lt;">
            <v:imagedata r:id="rId9" o:title="" chromakey="white"/>
          </v:shape>
        </w:pict>
      </w:r>
      <w:r>
        <w:instrText xml:space="preserve"> </w:instrText>
      </w:r>
      <w:r>
        <w:fldChar w:fldCharType="end"/>
      </w:r>
      <w:r>
        <w:t>, so the fiscal rule is Ricardian.</w:t>
      </w:r>
    </w:p>
  </w:footnote>
  <w:footnote w:id="11">
    <w:p w:rsidR="00E31CC2" w:rsidRDefault="00E31CC2">
      <w:pPr>
        <w:pStyle w:val="FootnoteText"/>
      </w:pPr>
      <w:r>
        <w:rPr>
          <w:rStyle w:val="FootnoteReference"/>
        </w:rPr>
        <w:footnoteRef/>
      </w:r>
      <w:r>
        <w:t xml:space="preserve"> The calibrations are explained and detailed time paths and figures of the simulations are given in Goyal (2011b).</w:t>
      </w:r>
    </w:p>
  </w:footnote>
  <w:footnote w:id="12">
    <w:p w:rsidR="00E31CC2" w:rsidRDefault="00E31CC2">
      <w:pPr>
        <w:pStyle w:val="FootnoteText"/>
      </w:pPr>
      <w:r>
        <w:rPr>
          <w:rStyle w:val="FootnoteReference"/>
        </w:rPr>
        <w:footnoteRef/>
      </w:r>
      <w:r>
        <w:t xml:space="preserve"> The NKE literature calls it the 'divine coincidence' when the CB does not need to take fluctuations in the output gap into account when setting interest rates. Woodford’s  (2001) differences with the empirical Taylor rule were: First, the welfare theoretic loss function implies the inflation target should be zero in the pure frictionless model. Second the output gap should be calculated using the natural output, not the past deterministic trend. All the shocks, such as technology, consumption of the P-type and world income, that affect the natural interest rate in equation (2) affect the natural output. See Goyal (2009) for more details on natural output in a SOEME.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774"/>
    <w:multiLevelType w:val="hybridMultilevel"/>
    <w:tmpl w:val="1D14D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6A0BDB"/>
    <w:multiLevelType w:val="hybridMultilevel"/>
    <w:tmpl w:val="09541558"/>
    <w:lvl w:ilvl="0" w:tplc="B60A0F3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EF14734"/>
    <w:multiLevelType w:val="hybridMultilevel"/>
    <w:tmpl w:val="D2F21F40"/>
    <w:lvl w:ilvl="0" w:tplc="034A7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EAC"/>
    <w:rsid w:val="00022BCE"/>
    <w:rsid w:val="00030ADE"/>
    <w:rsid w:val="0006255E"/>
    <w:rsid w:val="000718FB"/>
    <w:rsid w:val="00071DB9"/>
    <w:rsid w:val="000776E3"/>
    <w:rsid w:val="0008473D"/>
    <w:rsid w:val="00095286"/>
    <w:rsid w:val="000B6A7B"/>
    <w:rsid w:val="000B7048"/>
    <w:rsid w:val="000C0978"/>
    <w:rsid w:val="000C3BD4"/>
    <w:rsid w:val="0011660C"/>
    <w:rsid w:val="00145CCD"/>
    <w:rsid w:val="0017720F"/>
    <w:rsid w:val="001A3799"/>
    <w:rsid w:val="001A4A4D"/>
    <w:rsid w:val="001C5ABA"/>
    <w:rsid w:val="001C6E61"/>
    <w:rsid w:val="001D0D0E"/>
    <w:rsid w:val="001D528D"/>
    <w:rsid w:val="00205CF3"/>
    <w:rsid w:val="002158D9"/>
    <w:rsid w:val="00252E6F"/>
    <w:rsid w:val="0029085F"/>
    <w:rsid w:val="00295BD4"/>
    <w:rsid w:val="002B2B9D"/>
    <w:rsid w:val="002B461D"/>
    <w:rsid w:val="002C63FE"/>
    <w:rsid w:val="002C6DD3"/>
    <w:rsid w:val="002E38F3"/>
    <w:rsid w:val="002E5089"/>
    <w:rsid w:val="002F245B"/>
    <w:rsid w:val="003138C6"/>
    <w:rsid w:val="00334C8F"/>
    <w:rsid w:val="00370E67"/>
    <w:rsid w:val="00391ACA"/>
    <w:rsid w:val="003A12ED"/>
    <w:rsid w:val="003B69A6"/>
    <w:rsid w:val="003C7162"/>
    <w:rsid w:val="003D6C89"/>
    <w:rsid w:val="003F0160"/>
    <w:rsid w:val="004254B9"/>
    <w:rsid w:val="004356F8"/>
    <w:rsid w:val="00453432"/>
    <w:rsid w:val="00456ED3"/>
    <w:rsid w:val="004762F9"/>
    <w:rsid w:val="004850C6"/>
    <w:rsid w:val="004B6661"/>
    <w:rsid w:val="004C208C"/>
    <w:rsid w:val="004D4F74"/>
    <w:rsid w:val="004E3245"/>
    <w:rsid w:val="004E558D"/>
    <w:rsid w:val="004F7D95"/>
    <w:rsid w:val="00507339"/>
    <w:rsid w:val="005333AF"/>
    <w:rsid w:val="00540A10"/>
    <w:rsid w:val="00555777"/>
    <w:rsid w:val="00572A75"/>
    <w:rsid w:val="00576FA3"/>
    <w:rsid w:val="005D15D3"/>
    <w:rsid w:val="005E300F"/>
    <w:rsid w:val="005E601A"/>
    <w:rsid w:val="005F6B68"/>
    <w:rsid w:val="00601BB8"/>
    <w:rsid w:val="006118DA"/>
    <w:rsid w:val="00625B91"/>
    <w:rsid w:val="00646A6D"/>
    <w:rsid w:val="006A676C"/>
    <w:rsid w:val="006D2E62"/>
    <w:rsid w:val="006E57A4"/>
    <w:rsid w:val="006F10B6"/>
    <w:rsid w:val="00715409"/>
    <w:rsid w:val="007342E2"/>
    <w:rsid w:val="00764544"/>
    <w:rsid w:val="007651F8"/>
    <w:rsid w:val="007678AD"/>
    <w:rsid w:val="00767B16"/>
    <w:rsid w:val="00776674"/>
    <w:rsid w:val="0079209C"/>
    <w:rsid w:val="007E6B9D"/>
    <w:rsid w:val="008103C1"/>
    <w:rsid w:val="00830100"/>
    <w:rsid w:val="00845F36"/>
    <w:rsid w:val="00876E3E"/>
    <w:rsid w:val="00877C20"/>
    <w:rsid w:val="00881D13"/>
    <w:rsid w:val="00896C2C"/>
    <w:rsid w:val="008B55E3"/>
    <w:rsid w:val="008C67B5"/>
    <w:rsid w:val="008D0D10"/>
    <w:rsid w:val="008E1438"/>
    <w:rsid w:val="008F6E6D"/>
    <w:rsid w:val="009603CB"/>
    <w:rsid w:val="00962243"/>
    <w:rsid w:val="009A5C57"/>
    <w:rsid w:val="009D0DDD"/>
    <w:rsid w:val="009D1A63"/>
    <w:rsid w:val="009D3CBB"/>
    <w:rsid w:val="00A06051"/>
    <w:rsid w:val="00A44AAE"/>
    <w:rsid w:val="00A4650D"/>
    <w:rsid w:val="00A467A2"/>
    <w:rsid w:val="00A6728D"/>
    <w:rsid w:val="00A93AEF"/>
    <w:rsid w:val="00AB5732"/>
    <w:rsid w:val="00AC703B"/>
    <w:rsid w:val="00AD2B1B"/>
    <w:rsid w:val="00AF3B28"/>
    <w:rsid w:val="00AF4731"/>
    <w:rsid w:val="00B244E4"/>
    <w:rsid w:val="00B50796"/>
    <w:rsid w:val="00B604CF"/>
    <w:rsid w:val="00B73674"/>
    <w:rsid w:val="00BD41CD"/>
    <w:rsid w:val="00BE0C84"/>
    <w:rsid w:val="00BE368A"/>
    <w:rsid w:val="00C04A90"/>
    <w:rsid w:val="00C22607"/>
    <w:rsid w:val="00C25F3E"/>
    <w:rsid w:val="00C71B3C"/>
    <w:rsid w:val="00CA5200"/>
    <w:rsid w:val="00CD2684"/>
    <w:rsid w:val="00CE042A"/>
    <w:rsid w:val="00CF1470"/>
    <w:rsid w:val="00CF26B1"/>
    <w:rsid w:val="00CF50E6"/>
    <w:rsid w:val="00D145C3"/>
    <w:rsid w:val="00D4475C"/>
    <w:rsid w:val="00D615C3"/>
    <w:rsid w:val="00D63304"/>
    <w:rsid w:val="00D66F58"/>
    <w:rsid w:val="00D71F77"/>
    <w:rsid w:val="00D87D31"/>
    <w:rsid w:val="00DA7FC8"/>
    <w:rsid w:val="00DB1D19"/>
    <w:rsid w:val="00E20417"/>
    <w:rsid w:val="00E31CC2"/>
    <w:rsid w:val="00E62CFA"/>
    <w:rsid w:val="00E6556A"/>
    <w:rsid w:val="00E65791"/>
    <w:rsid w:val="00E76764"/>
    <w:rsid w:val="00E82A98"/>
    <w:rsid w:val="00EA24D8"/>
    <w:rsid w:val="00ED12FC"/>
    <w:rsid w:val="00EF28E0"/>
    <w:rsid w:val="00F06E99"/>
    <w:rsid w:val="00F13EAC"/>
    <w:rsid w:val="00F2096F"/>
    <w:rsid w:val="00F213B0"/>
    <w:rsid w:val="00F40378"/>
    <w:rsid w:val="00F6697C"/>
    <w:rsid w:val="00F7160F"/>
    <w:rsid w:val="00F87193"/>
    <w:rsid w:val="00F90FC5"/>
    <w:rsid w:val="00FA2A0F"/>
    <w:rsid w:val="00FB1F78"/>
    <w:rsid w:val="00FD2025"/>
    <w:rsid w:val="00FD67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4"/>
    <w:rPr>
      <w:sz w:val="24"/>
      <w:szCs w:val="24"/>
    </w:rPr>
  </w:style>
  <w:style w:type="paragraph" w:styleId="Heading1">
    <w:name w:val="heading 1"/>
    <w:basedOn w:val="Normal"/>
    <w:next w:val="Normal"/>
    <w:link w:val="Heading1Char"/>
    <w:qFormat/>
    <w:rsid w:val="00F7160F"/>
    <w:pPr>
      <w:keepNext/>
      <w:outlineLvl w:val="0"/>
    </w:pPr>
    <w:rPr>
      <w:b/>
      <w:bCs/>
    </w:rPr>
  </w:style>
  <w:style w:type="paragraph" w:styleId="Heading3">
    <w:name w:val="heading 3"/>
    <w:basedOn w:val="Normal"/>
    <w:next w:val="Normal"/>
    <w:qFormat/>
    <w:rsid w:val="00F7160F"/>
    <w:pPr>
      <w:keepNext/>
      <w:spacing w:before="240" w:after="60"/>
      <w:outlineLvl w:val="2"/>
    </w:pPr>
    <w:rPr>
      <w:rFonts w:ascii="Cambria" w:hAnsi="Cambria"/>
      <w:b/>
      <w:bCs/>
      <w:sz w:val="26"/>
      <w:szCs w:val="26"/>
    </w:rPr>
  </w:style>
  <w:style w:type="paragraph" w:styleId="Heading4">
    <w:name w:val="heading 4"/>
    <w:basedOn w:val="Normal"/>
    <w:next w:val="Normal"/>
    <w:qFormat/>
    <w:rsid w:val="00F716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7160F"/>
    <w:pPr>
      <w:tabs>
        <w:tab w:val="center" w:pos="4320"/>
        <w:tab w:val="right" w:pos="8640"/>
      </w:tabs>
    </w:pPr>
  </w:style>
  <w:style w:type="character" w:styleId="PageNumber">
    <w:name w:val="page number"/>
    <w:basedOn w:val="DefaultParagraphFont"/>
    <w:semiHidden/>
    <w:rsid w:val="00F7160F"/>
  </w:style>
  <w:style w:type="character" w:styleId="FootnoteReference">
    <w:name w:val="footnote reference"/>
    <w:semiHidden/>
    <w:rsid w:val="00F7160F"/>
    <w:rPr>
      <w:vertAlign w:val="superscript"/>
    </w:rPr>
  </w:style>
  <w:style w:type="paragraph" w:styleId="FootnoteText">
    <w:name w:val="footnote text"/>
    <w:basedOn w:val="Normal"/>
    <w:semiHidden/>
    <w:rsid w:val="00F7160F"/>
    <w:rPr>
      <w:sz w:val="20"/>
      <w:szCs w:val="20"/>
    </w:rPr>
  </w:style>
  <w:style w:type="character" w:customStyle="1" w:styleId="FootnoteTextChar">
    <w:name w:val="Footnote Text Char"/>
    <w:basedOn w:val="DefaultParagraphFont"/>
    <w:semiHidden/>
    <w:rsid w:val="00F7160F"/>
  </w:style>
  <w:style w:type="paragraph" w:customStyle="1" w:styleId="Default">
    <w:name w:val="Default"/>
    <w:rsid w:val="00F7160F"/>
    <w:pPr>
      <w:autoSpaceDE w:val="0"/>
      <w:autoSpaceDN w:val="0"/>
      <w:adjustRightInd w:val="0"/>
    </w:pPr>
    <w:rPr>
      <w:color w:val="000000"/>
      <w:sz w:val="24"/>
      <w:szCs w:val="24"/>
    </w:rPr>
  </w:style>
  <w:style w:type="character" w:customStyle="1" w:styleId="Heading4Char">
    <w:name w:val="Heading 4 Char"/>
    <w:semiHidden/>
    <w:rsid w:val="00F7160F"/>
    <w:rPr>
      <w:rFonts w:ascii="Calibri" w:eastAsia="Times New Roman" w:hAnsi="Calibri" w:cs="Times New Roman"/>
      <w:b/>
      <w:bCs/>
      <w:sz w:val="28"/>
      <w:szCs w:val="28"/>
    </w:rPr>
  </w:style>
  <w:style w:type="paragraph" w:styleId="NormalWeb">
    <w:name w:val="Normal (Web)"/>
    <w:basedOn w:val="Normal"/>
    <w:semiHidden/>
    <w:rsid w:val="00F7160F"/>
    <w:pPr>
      <w:spacing w:before="100" w:beforeAutospacing="1" w:after="100" w:afterAutospacing="1"/>
    </w:pPr>
  </w:style>
  <w:style w:type="character" w:customStyle="1" w:styleId="Heading3Char">
    <w:name w:val="Heading 3 Char"/>
    <w:semiHidden/>
    <w:rsid w:val="00F7160F"/>
    <w:rPr>
      <w:rFonts w:ascii="Cambria" w:eastAsia="Times New Roman" w:hAnsi="Cambria" w:cs="Times New Roman"/>
      <w:b/>
      <w:bCs/>
      <w:sz w:val="26"/>
      <w:szCs w:val="26"/>
    </w:rPr>
  </w:style>
  <w:style w:type="paragraph" w:styleId="ListParagraph">
    <w:name w:val="List Paragraph"/>
    <w:basedOn w:val="Normal"/>
    <w:qFormat/>
    <w:rsid w:val="00F7160F"/>
    <w:pPr>
      <w:spacing w:after="200" w:line="276" w:lineRule="auto"/>
      <w:ind w:left="720"/>
      <w:contextualSpacing/>
    </w:pPr>
    <w:rPr>
      <w:rFonts w:ascii="Calibri" w:hAnsi="Calibri"/>
      <w:sz w:val="22"/>
      <w:szCs w:val="22"/>
    </w:rPr>
  </w:style>
  <w:style w:type="paragraph" w:styleId="Bibliography">
    <w:name w:val="Bibliography"/>
    <w:basedOn w:val="Normal"/>
    <w:next w:val="Normal"/>
    <w:unhideWhenUsed/>
    <w:rsid w:val="00F7160F"/>
    <w:pPr>
      <w:spacing w:after="200" w:line="276" w:lineRule="auto"/>
    </w:pPr>
    <w:rPr>
      <w:rFonts w:ascii="Calibri" w:hAnsi="Calibri"/>
      <w:sz w:val="22"/>
      <w:szCs w:val="22"/>
    </w:rPr>
  </w:style>
  <w:style w:type="character" w:customStyle="1" w:styleId="txt">
    <w:name w:val="txt"/>
    <w:basedOn w:val="DefaultParagraphFont"/>
    <w:rsid w:val="00F7160F"/>
  </w:style>
  <w:style w:type="paragraph" w:styleId="BodyText">
    <w:name w:val="Body Text"/>
    <w:basedOn w:val="Normal"/>
    <w:semiHidden/>
    <w:rsid w:val="00F7160F"/>
    <w:pPr>
      <w:spacing w:line="360" w:lineRule="auto"/>
      <w:jc w:val="center"/>
    </w:pPr>
    <w:rPr>
      <w:b/>
      <w:bCs/>
    </w:rPr>
  </w:style>
  <w:style w:type="character" w:customStyle="1" w:styleId="BodyTextChar">
    <w:name w:val="Body Text Char"/>
    <w:semiHidden/>
    <w:rsid w:val="00F7160F"/>
    <w:rPr>
      <w:b/>
      <w:bCs/>
      <w:sz w:val="24"/>
      <w:szCs w:val="24"/>
    </w:rPr>
  </w:style>
  <w:style w:type="character" w:customStyle="1" w:styleId="Heading1Char">
    <w:name w:val="Heading 1 Char"/>
    <w:basedOn w:val="DefaultParagraphFont"/>
    <w:link w:val="Heading1"/>
    <w:rsid w:val="00896C2C"/>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5.wmf"/><Relationship Id="rId303" Type="http://schemas.openxmlformats.org/officeDocument/2006/relationships/image" Target="media/image13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3.bin"/><Relationship Id="rId159" Type="http://schemas.openxmlformats.org/officeDocument/2006/relationships/image" Target="media/image73.wmf"/><Relationship Id="rId324" Type="http://schemas.openxmlformats.org/officeDocument/2006/relationships/oleObject" Target="embeddings/oleObject177.bin"/><Relationship Id="rId345" Type="http://schemas.openxmlformats.org/officeDocument/2006/relationships/oleObject" Target="embeddings/oleObject187.bin"/><Relationship Id="rId366" Type="http://schemas.openxmlformats.org/officeDocument/2006/relationships/image" Target="media/image169.wmf"/><Relationship Id="rId170" Type="http://schemas.openxmlformats.org/officeDocument/2006/relationships/oleObject" Target="embeddings/oleObject89.bin"/><Relationship Id="rId191" Type="http://schemas.openxmlformats.org/officeDocument/2006/relationships/image" Target="media/image90.wmf"/><Relationship Id="rId205" Type="http://schemas.openxmlformats.org/officeDocument/2006/relationships/oleObject" Target="embeddings/oleObject107.bin"/><Relationship Id="rId226" Type="http://schemas.openxmlformats.org/officeDocument/2006/relationships/oleObject" Target="embeddings/oleObject122.bin"/><Relationship Id="rId247" Type="http://schemas.openxmlformats.org/officeDocument/2006/relationships/oleObject" Target="embeddings/oleObject138.bin"/><Relationship Id="rId107" Type="http://schemas.openxmlformats.org/officeDocument/2006/relationships/image" Target="media/image52.wmf"/><Relationship Id="rId268" Type="http://schemas.openxmlformats.org/officeDocument/2006/relationships/oleObject" Target="embeddings/oleObject150.bin"/><Relationship Id="rId289" Type="http://schemas.openxmlformats.org/officeDocument/2006/relationships/image" Target="media/image12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8.wmf"/><Relationship Id="rId314" Type="http://schemas.openxmlformats.org/officeDocument/2006/relationships/oleObject" Target="embeddings/oleObject172.bin"/><Relationship Id="rId335" Type="http://schemas.openxmlformats.org/officeDocument/2006/relationships/image" Target="media/image153.wmf"/><Relationship Id="rId356" Type="http://schemas.openxmlformats.org/officeDocument/2006/relationships/image" Target="media/image164.wmf"/><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84.bin"/><Relationship Id="rId181" Type="http://schemas.openxmlformats.org/officeDocument/2006/relationships/oleObject" Target="embeddings/oleObject94.bin"/><Relationship Id="rId216" Type="http://schemas.openxmlformats.org/officeDocument/2006/relationships/oleObject" Target="embeddings/oleObject113.bin"/><Relationship Id="rId237" Type="http://schemas.openxmlformats.org/officeDocument/2006/relationships/oleObject" Target="embeddings/oleObject132.bin"/><Relationship Id="rId258" Type="http://schemas.openxmlformats.org/officeDocument/2006/relationships/image" Target="media/image113.wmf"/><Relationship Id="rId279" Type="http://schemas.openxmlformats.org/officeDocument/2006/relationships/image" Target="media/image124.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image" Target="media/image63.wmf"/><Relationship Id="rId290" Type="http://schemas.openxmlformats.org/officeDocument/2006/relationships/oleObject" Target="embeddings/oleObject161.bin"/><Relationship Id="rId304" Type="http://schemas.openxmlformats.org/officeDocument/2006/relationships/oleObject" Target="embeddings/oleObject167.bin"/><Relationship Id="rId325" Type="http://schemas.openxmlformats.org/officeDocument/2006/relationships/image" Target="media/image148.wmf"/><Relationship Id="rId346" Type="http://schemas.openxmlformats.org/officeDocument/2006/relationships/image" Target="media/image159.wmf"/><Relationship Id="rId367" Type="http://schemas.openxmlformats.org/officeDocument/2006/relationships/oleObject" Target="embeddings/oleObject198.bin"/><Relationship Id="rId85" Type="http://schemas.openxmlformats.org/officeDocument/2006/relationships/image" Target="media/image41.wmf"/><Relationship Id="rId150" Type="http://schemas.openxmlformats.org/officeDocument/2006/relationships/oleObject" Target="embeddings/oleObject79.bin"/><Relationship Id="rId171" Type="http://schemas.openxmlformats.org/officeDocument/2006/relationships/image" Target="media/image79.wmf"/><Relationship Id="rId192" Type="http://schemas.openxmlformats.org/officeDocument/2006/relationships/oleObject" Target="embeddings/oleObject99.bin"/><Relationship Id="rId206" Type="http://schemas.openxmlformats.org/officeDocument/2006/relationships/image" Target="media/image99.wmf"/><Relationship Id="rId227" Type="http://schemas.openxmlformats.org/officeDocument/2006/relationships/oleObject" Target="embeddings/oleObject123.bin"/><Relationship Id="rId248" Type="http://schemas.openxmlformats.org/officeDocument/2006/relationships/oleObject" Target="embeddings/oleObject139.bin"/><Relationship Id="rId269" Type="http://schemas.openxmlformats.org/officeDocument/2006/relationships/image" Target="media/image11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8.bin"/><Relationship Id="rId280" Type="http://schemas.openxmlformats.org/officeDocument/2006/relationships/oleObject" Target="embeddings/oleObject156.bin"/><Relationship Id="rId315" Type="http://schemas.openxmlformats.org/officeDocument/2006/relationships/image" Target="media/image143.wmf"/><Relationship Id="rId336" Type="http://schemas.openxmlformats.org/officeDocument/2006/relationships/oleObject" Target="embeddings/oleObject183.bin"/><Relationship Id="rId357" Type="http://schemas.openxmlformats.org/officeDocument/2006/relationships/oleObject" Target="embeddings/oleObject193.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74.bin"/><Relationship Id="rId161" Type="http://schemas.openxmlformats.org/officeDocument/2006/relationships/image" Target="media/image74.wmf"/><Relationship Id="rId182" Type="http://schemas.openxmlformats.org/officeDocument/2006/relationships/image" Target="media/image85.png"/><Relationship Id="rId217" Type="http://schemas.openxmlformats.org/officeDocument/2006/relationships/oleObject" Target="embeddings/oleObject114.bin"/><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oleObject" Target="embeddings/oleObject146.bin"/><Relationship Id="rId23" Type="http://schemas.openxmlformats.org/officeDocument/2006/relationships/oleObject" Target="embeddings/oleObject8.bin"/><Relationship Id="rId119" Type="http://schemas.openxmlformats.org/officeDocument/2006/relationships/image" Target="media/image56.png"/><Relationship Id="rId270" Type="http://schemas.openxmlformats.org/officeDocument/2006/relationships/oleObject" Target="embeddings/oleObject151.bin"/><Relationship Id="rId291" Type="http://schemas.openxmlformats.org/officeDocument/2006/relationships/image" Target="media/image130.png"/><Relationship Id="rId305" Type="http://schemas.openxmlformats.org/officeDocument/2006/relationships/image" Target="media/image138.wmf"/><Relationship Id="rId326" Type="http://schemas.openxmlformats.org/officeDocument/2006/relationships/oleObject" Target="embeddings/oleObject178.bin"/><Relationship Id="rId347" Type="http://schemas.openxmlformats.org/officeDocument/2006/relationships/oleObject" Target="embeddings/oleObject18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image" Target="media/image69.wmf"/><Relationship Id="rId368" Type="http://schemas.openxmlformats.org/officeDocument/2006/relationships/image" Target="media/image170.wmf"/><Relationship Id="rId172" Type="http://schemas.openxmlformats.org/officeDocument/2006/relationships/oleObject" Target="embeddings/oleObject90.bin"/><Relationship Id="rId193" Type="http://schemas.openxmlformats.org/officeDocument/2006/relationships/image" Target="media/image91.png"/><Relationship Id="rId207" Type="http://schemas.openxmlformats.org/officeDocument/2006/relationships/oleObject" Target="embeddings/oleObject108.bin"/><Relationship Id="rId228" Type="http://schemas.openxmlformats.org/officeDocument/2006/relationships/oleObject" Target="embeddings/oleObject124.bin"/><Relationship Id="rId249" Type="http://schemas.openxmlformats.org/officeDocument/2006/relationships/oleObject" Target="embeddings/oleObject140.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14.wmf"/><Relationship Id="rId281" Type="http://schemas.openxmlformats.org/officeDocument/2006/relationships/image" Target="media/image125.wmf"/><Relationship Id="rId316" Type="http://schemas.openxmlformats.org/officeDocument/2006/relationships/oleObject" Target="embeddings/oleObject173.bin"/><Relationship Id="rId337"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61.bin"/><Relationship Id="rId141" Type="http://schemas.openxmlformats.org/officeDocument/2006/relationships/image" Target="media/image64.wmf"/><Relationship Id="rId358" Type="http://schemas.openxmlformats.org/officeDocument/2006/relationships/image" Target="media/image165.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86.wmf"/><Relationship Id="rId218" Type="http://schemas.openxmlformats.org/officeDocument/2006/relationships/image" Target="media/image104.wmf"/><Relationship Id="rId239" Type="http://schemas.openxmlformats.org/officeDocument/2006/relationships/image" Target="media/image106.wmf"/><Relationship Id="rId250" Type="http://schemas.openxmlformats.org/officeDocument/2006/relationships/oleObject" Target="embeddings/oleObject141.bin"/><Relationship Id="rId271" Type="http://schemas.openxmlformats.org/officeDocument/2006/relationships/image" Target="media/image120.wmf"/><Relationship Id="rId292" Type="http://schemas.openxmlformats.org/officeDocument/2006/relationships/image" Target="media/image131.wmf"/><Relationship Id="rId306" Type="http://schemas.openxmlformats.org/officeDocument/2006/relationships/oleObject" Target="embeddings/oleObject168.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oleObject" Target="embeddings/oleObject69.bin"/><Relationship Id="rId327" Type="http://schemas.openxmlformats.org/officeDocument/2006/relationships/image" Target="media/image149.wmf"/><Relationship Id="rId348" Type="http://schemas.openxmlformats.org/officeDocument/2006/relationships/image" Target="media/image160.wmf"/><Relationship Id="rId369" Type="http://schemas.openxmlformats.org/officeDocument/2006/relationships/oleObject" Target="embeddings/oleObject199.bin"/><Relationship Id="rId152" Type="http://schemas.openxmlformats.org/officeDocument/2006/relationships/oleObject" Target="embeddings/oleObject80.bin"/><Relationship Id="rId173" Type="http://schemas.openxmlformats.org/officeDocument/2006/relationships/image" Target="media/image80.wmf"/><Relationship Id="rId194" Type="http://schemas.openxmlformats.org/officeDocument/2006/relationships/image" Target="media/image92.wmf"/><Relationship Id="rId208" Type="http://schemas.openxmlformats.org/officeDocument/2006/relationships/image" Target="media/image100.wmf"/><Relationship Id="rId229" Type="http://schemas.openxmlformats.org/officeDocument/2006/relationships/image" Target="media/image105.wmf"/><Relationship Id="rId240" Type="http://schemas.openxmlformats.org/officeDocument/2006/relationships/oleObject" Target="embeddings/oleObject134.bin"/><Relationship Id="rId261" Type="http://schemas.openxmlformats.org/officeDocument/2006/relationships/oleObject" Target="embeddings/oleObject14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57.bin"/><Relationship Id="rId317" Type="http://schemas.openxmlformats.org/officeDocument/2006/relationships/image" Target="media/image144.wmf"/><Relationship Id="rId338" Type="http://schemas.openxmlformats.org/officeDocument/2006/relationships/oleObject" Target="embeddings/oleObject184.bin"/><Relationship Id="rId359" Type="http://schemas.openxmlformats.org/officeDocument/2006/relationships/oleObject" Target="embeddings/oleObject194.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oleObject" Target="embeddings/oleObject115.bin"/><Relationship Id="rId370" Type="http://schemas.openxmlformats.org/officeDocument/2006/relationships/oleObject" Target="embeddings/oleObject200.bin"/><Relationship Id="rId230" Type="http://schemas.openxmlformats.org/officeDocument/2006/relationships/oleObject" Target="embeddings/oleObject125.bin"/><Relationship Id="rId251" Type="http://schemas.openxmlformats.org/officeDocument/2006/relationships/oleObject" Target="embeddings/oleObject14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2.bin"/><Relationship Id="rId293" Type="http://schemas.openxmlformats.org/officeDocument/2006/relationships/oleObject" Target="embeddings/oleObject162.bin"/><Relationship Id="rId307" Type="http://schemas.openxmlformats.org/officeDocument/2006/relationships/image" Target="media/image139.wmf"/><Relationship Id="rId328" Type="http://schemas.openxmlformats.org/officeDocument/2006/relationships/oleObject" Target="embeddings/oleObject179.bin"/><Relationship Id="rId349" Type="http://schemas.openxmlformats.org/officeDocument/2006/relationships/oleObject" Target="embeddings/oleObject189.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oleObject" Target="embeddings/oleObject109.bin"/><Relationship Id="rId360" Type="http://schemas.openxmlformats.org/officeDocument/2006/relationships/image" Target="media/image166.wmf"/><Relationship Id="rId220" Type="http://schemas.openxmlformats.org/officeDocument/2006/relationships/oleObject" Target="embeddings/oleObject116.bin"/><Relationship Id="rId241" Type="http://schemas.openxmlformats.org/officeDocument/2006/relationships/image" Target="media/image10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5.png"/><Relationship Id="rId283" Type="http://schemas.openxmlformats.org/officeDocument/2006/relationships/image" Target="media/image126.wmf"/><Relationship Id="rId318" Type="http://schemas.openxmlformats.org/officeDocument/2006/relationships/oleObject" Target="embeddings/oleObject174.bin"/><Relationship Id="rId339" Type="http://schemas.openxmlformats.org/officeDocument/2006/relationships/image" Target="media/image155.png"/><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image" Target="media/image65.wmf"/><Relationship Id="rId164" Type="http://schemas.openxmlformats.org/officeDocument/2006/relationships/oleObject" Target="embeddings/oleObject86.bin"/><Relationship Id="rId185" Type="http://schemas.openxmlformats.org/officeDocument/2006/relationships/image" Target="media/image87.wmf"/><Relationship Id="rId350" Type="http://schemas.openxmlformats.org/officeDocument/2006/relationships/image" Target="media/image161.wmf"/><Relationship Id="rId371" Type="http://schemas.openxmlformats.org/officeDocument/2006/relationships/image" Target="media/image17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oleObject" Target="embeddings/oleObject110.bin"/><Relationship Id="rId215" Type="http://schemas.openxmlformats.org/officeDocument/2006/relationships/image" Target="media/image103.wmf"/><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oleObject" Target="embeddings/oleObject155.bin"/><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10.wmf"/><Relationship Id="rId273" Type="http://schemas.openxmlformats.org/officeDocument/2006/relationships/image" Target="media/image121.wmf"/><Relationship Id="rId294" Type="http://schemas.openxmlformats.org/officeDocument/2006/relationships/image" Target="media/image132.wmf"/><Relationship Id="rId308" Type="http://schemas.openxmlformats.org/officeDocument/2006/relationships/oleObject" Target="embeddings/oleObject169.bin"/><Relationship Id="rId329" Type="http://schemas.openxmlformats.org/officeDocument/2006/relationships/image" Target="media/image15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81.wmf"/><Relationship Id="rId340" Type="http://schemas.openxmlformats.org/officeDocument/2006/relationships/image" Target="media/image156.wmf"/><Relationship Id="rId361" Type="http://schemas.openxmlformats.org/officeDocument/2006/relationships/oleObject" Target="embeddings/oleObject19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oleObject" Target="embeddings/oleObject135.bin"/><Relationship Id="rId263" Type="http://schemas.openxmlformats.org/officeDocument/2006/relationships/image" Target="media/image116.wmf"/><Relationship Id="rId284" Type="http://schemas.openxmlformats.org/officeDocument/2006/relationships/oleObject" Target="embeddings/oleObject158.bin"/><Relationship Id="rId319" Type="http://schemas.openxmlformats.org/officeDocument/2006/relationships/image" Target="media/image14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64.bin"/><Relationship Id="rId144" Type="http://schemas.openxmlformats.org/officeDocument/2006/relationships/oleObject" Target="embeddings/oleObject76.bin"/><Relationship Id="rId330" Type="http://schemas.openxmlformats.org/officeDocument/2006/relationships/oleObject" Target="embeddings/oleObject180.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6.bin"/><Relationship Id="rId351" Type="http://schemas.openxmlformats.org/officeDocument/2006/relationships/oleObject" Target="embeddings/oleObject190.bin"/><Relationship Id="rId372" Type="http://schemas.openxmlformats.org/officeDocument/2006/relationships/oleObject" Target="embeddings/oleObject201.bin"/><Relationship Id="rId211" Type="http://schemas.openxmlformats.org/officeDocument/2006/relationships/image" Target="media/image101.wmf"/><Relationship Id="rId232" Type="http://schemas.openxmlformats.org/officeDocument/2006/relationships/oleObject" Target="embeddings/oleObject127.bin"/><Relationship Id="rId253" Type="http://schemas.openxmlformats.org/officeDocument/2006/relationships/oleObject" Target="embeddings/oleObject143.bin"/><Relationship Id="rId274" Type="http://schemas.openxmlformats.org/officeDocument/2006/relationships/oleObject" Target="embeddings/oleObject153.bin"/><Relationship Id="rId295" Type="http://schemas.openxmlformats.org/officeDocument/2006/relationships/oleObject" Target="embeddings/oleObject163.bin"/><Relationship Id="rId309" Type="http://schemas.openxmlformats.org/officeDocument/2006/relationships/image" Target="media/image14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image" Target="media/image61.wmf"/><Relationship Id="rId320" Type="http://schemas.openxmlformats.org/officeDocument/2006/relationships/oleObject" Target="embeddings/oleObject175.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oleObject" Target="embeddings/oleObject92.bin"/><Relationship Id="rId197" Type="http://schemas.openxmlformats.org/officeDocument/2006/relationships/oleObject" Target="embeddings/oleObject102.bin"/><Relationship Id="rId341" Type="http://schemas.openxmlformats.org/officeDocument/2006/relationships/oleObject" Target="embeddings/oleObject185.bin"/><Relationship Id="rId362" Type="http://schemas.openxmlformats.org/officeDocument/2006/relationships/image" Target="media/image167.wmf"/><Relationship Id="rId201" Type="http://schemas.openxmlformats.org/officeDocument/2006/relationships/oleObject" Target="embeddings/oleObject104.bin"/><Relationship Id="rId222" Type="http://schemas.openxmlformats.org/officeDocument/2006/relationships/oleObject" Target="embeddings/oleObject118.bin"/><Relationship Id="rId243" Type="http://schemas.openxmlformats.org/officeDocument/2006/relationships/image" Target="media/image108.wmf"/><Relationship Id="rId264" Type="http://schemas.openxmlformats.org/officeDocument/2006/relationships/oleObject" Target="embeddings/oleObject148.bin"/><Relationship Id="rId285" Type="http://schemas.openxmlformats.org/officeDocument/2006/relationships/image" Target="media/image12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65.bin"/><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66.wmf"/><Relationship Id="rId166" Type="http://schemas.openxmlformats.org/officeDocument/2006/relationships/oleObject" Target="embeddings/oleObject87.bin"/><Relationship Id="rId187" Type="http://schemas.openxmlformats.org/officeDocument/2006/relationships/image" Target="media/image88.wmf"/><Relationship Id="rId331" Type="http://schemas.openxmlformats.org/officeDocument/2006/relationships/image" Target="media/image151.wmf"/><Relationship Id="rId352" Type="http://schemas.openxmlformats.org/officeDocument/2006/relationships/image" Target="media/image162.wmf"/><Relationship Id="rId373" Type="http://schemas.openxmlformats.org/officeDocument/2006/relationships/image" Target="media/image172.png"/><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oleObject" Target="embeddings/oleObject128.bin"/><Relationship Id="rId254" Type="http://schemas.openxmlformats.org/officeDocument/2006/relationships/image" Target="media/image11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image" Target="media/image122.wmf"/><Relationship Id="rId296" Type="http://schemas.openxmlformats.org/officeDocument/2006/relationships/image" Target="media/image133.png"/><Relationship Id="rId300" Type="http://schemas.openxmlformats.org/officeDocument/2006/relationships/oleObject" Target="embeddings/oleObject165.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oleObject" Target="embeddings/oleObject82.bin"/><Relationship Id="rId177" Type="http://schemas.openxmlformats.org/officeDocument/2006/relationships/image" Target="media/image82.wmf"/><Relationship Id="rId198" Type="http://schemas.openxmlformats.org/officeDocument/2006/relationships/image" Target="media/image96.wmf"/><Relationship Id="rId321" Type="http://schemas.openxmlformats.org/officeDocument/2006/relationships/image" Target="media/image146.wmf"/><Relationship Id="rId342" Type="http://schemas.openxmlformats.org/officeDocument/2006/relationships/image" Target="media/image157.wmf"/><Relationship Id="rId363" Type="http://schemas.openxmlformats.org/officeDocument/2006/relationships/oleObject" Target="embeddings/oleObject196.bin"/><Relationship Id="rId202" Type="http://schemas.openxmlformats.org/officeDocument/2006/relationships/oleObject" Target="embeddings/oleObject105.bin"/><Relationship Id="rId223" Type="http://schemas.openxmlformats.org/officeDocument/2006/relationships/oleObject" Target="embeddings/oleObject119.bin"/><Relationship Id="rId244" Type="http://schemas.openxmlformats.org/officeDocument/2006/relationships/oleObject" Target="embeddings/oleObject13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7.wmf"/><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image" Target="media/image77.wmf"/><Relationship Id="rId188" Type="http://schemas.openxmlformats.org/officeDocument/2006/relationships/oleObject" Target="embeddings/oleObject97.bin"/><Relationship Id="rId311" Type="http://schemas.openxmlformats.org/officeDocument/2006/relationships/image" Target="media/image141.wmf"/><Relationship Id="rId332" Type="http://schemas.openxmlformats.org/officeDocument/2006/relationships/oleObject" Target="embeddings/oleObject181.bin"/><Relationship Id="rId353" Type="http://schemas.openxmlformats.org/officeDocument/2006/relationships/oleObject" Target="embeddings/oleObject191.bin"/><Relationship Id="rId374" Type="http://schemas.openxmlformats.org/officeDocument/2006/relationships/image" Target="media/image173.png"/><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4.bin"/><Relationship Id="rId276" Type="http://schemas.openxmlformats.org/officeDocument/2006/relationships/oleObject" Target="embeddings/oleObject154.bin"/><Relationship Id="rId297" Type="http://schemas.openxmlformats.org/officeDocument/2006/relationships/image" Target="media/image134.wmf"/><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72.bin"/><Relationship Id="rId157" Type="http://schemas.openxmlformats.org/officeDocument/2006/relationships/image" Target="media/image72.wmf"/><Relationship Id="rId178" Type="http://schemas.openxmlformats.org/officeDocument/2006/relationships/oleObject" Target="embeddings/oleObject93.bin"/><Relationship Id="rId301" Type="http://schemas.openxmlformats.org/officeDocument/2006/relationships/image" Target="media/image136.wmf"/><Relationship Id="rId322" Type="http://schemas.openxmlformats.org/officeDocument/2006/relationships/oleObject" Target="embeddings/oleObject176.bin"/><Relationship Id="rId343" Type="http://schemas.openxmlformats.org/officeDocument/2006/relationships/oleObject" Target="embeddings/oleObject186.bin"/><Relationship Id="rId364" Type="http://schemas.openxmlformats.org/officeDocument/2006/relationships/image" Target="media/image168.wmf"/><Relationship Id="rId61" Type="http://schemas.openxmlformats.org/officeDocument/2006/relationships/oleObject" Target="embeddings/oleObject27.bin"/><Relationship Id="rId82" Type="http://schemas.openxmlformats.org/officeDocument/2006/relationships/image" Target="media/image39.png"/><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image" Target="media/image109.wmf"/><Relationship Id="rId266" Type="http://schemas.openxmlformats.org/officeDocument/2006/relationships/oleObject" Target="embeddings/oleObject149.bin"/><Relationship Id="rId287" Type="http://schemas.openxmlformats.org/officeDocument/2006/relationships/image" Target="media/image128.wmf"/><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8.bin"/><Relationship Id="rId312" Type="http://schemas.openxmlformats.org/officeDocument/2006/relationships/oleObject" Target="embeddings/oleObject171.bin"/><Relationship Id="rId333" Type="http://schemas.openxmlformats.org/officeDocument/2006/relationships/image" Target="media/image152.wmf"/><Relationship Id="rId354" Type="http://schemas.openxmlformats.org/officeDocument/2006/relationships/image" Target="media/image163.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89.wmf"/><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30.bin"/><Relationship Id="rId256" Type="http://schemas.openxmlformats.org/officeDocument/2006/relationships/image" Target="media/image112.wmf"/><Relationship Id="rId277" Type="http://schemas.openxmlformats.org/officeDocument/2006/relationships/image" Target="media/image123.wmf"/><Relationship Id="rId298" Type="http://schemas.openxmlformats.org/officeDocument/2006/relationships/oleObject" Target="embeddings/oleObject164.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3.bin"/><Relationship Id="rId302" Type="http://schemas.openxmlformats.org/officeDocument/2006/relationships/oleObject" Target="embeddings/oleObject166.bin"/><Relationship Id="rId323" Type="http://schemas.openxmlformats.org/officeDocument/2006/relationships/image" Target="media/image147.wmf"/><Relationship Id="rId344" Type="http://schemas.openxmlformats.org/officeDocument/2006/relationships/image" Target="media/image15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179" Type="http://schemas.openxmlformats.org/officeDocument/2006/relationships/image" Target="media/image83.png"/><Relationship Id="rId365" Type="http://schemas.openxmlformats.org/officeDocument/2006/relationships/oleObject" Target="embeddings/oleObject197.bin"/><Relationship Id="rId190" Type="http://schemas.openxmlformats.org/officeDocument/2006/relationships/oleObject" Target="embeddings/oleObject98.bin"/><Relationship Id="rId204" Type="http://schemas.openxmlformats.org/officeDocument/2006/relationships/image" Target="media/image98.wmf"/><Relationship Id="rId225" Type="http://schemas.openxmlformats.org/officeDocument/2006/relationships/oleObject" Target="embeddings/oleObject121.bin"/><Relationship Id="rId246" Type="http://schemas.openxmlformats.org/officeDocument/2006/relationships/oleObject" Target="embeddings/oleObject137.bin"/><Relationship Id="rId267" Type="http://schemas.openxmlformats.org/officeDocument/2006/relationships/image" Target="media/image118.wmf"/><Relationship Id="rId288" Type="http://schemas.openxmlformats.org/officeDocument/2006/relationships/oleObject" Target="embeddings/oleObject160.bin"/><Relationship Id="rId106" Type="http://schemas.openxmlformats.org/officeDocument/2006/relationships/oleObject" Target="embeddings/oleObject50.bin"/><Relationship Id="rId127" Type="http://schemas.openxmlformats.org/officeDocument/2006/relationships/oleObject" Target="embeddings/oleObject67.bin"/><Relationship Id="rId313" Type="http://schemas.openxmlformats.org/officeDocument/2006/relationships/image" Target="media/image14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8.bin"/><Relationship Id="rId169" Type="http://schemas.openxmlformats.org/officeDocument/2006/relationships/image" Target="media/image78.wmf"/><Relationship Id="rId334" Type="http://schemas.openxmlformats.org/officeDocument/2006/relationships/oleObject" Target="embeddings/oleObject182.bin"/><Relationship Id="rId355" Type="http://schemas.openxmlformats.org/officeDocument/2006/relationships/oleObject" Target="embeddings/oleObject192.bin"/><Relationship Id="rId376"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01.bin"/><Relationship Id="rId3" Type="http://schemas.openxmlformats.org/officeDocument/2006/relationships/image" Target="media/image51.wmf"/><Relationship Id="rId7" Type="http://schemas.openxmlformats.org/officeDocument/2006/relationships/image" Target="media/image93.wmf"/><Relationship Id="rId2" Type="http://schemas.openxmlformats.org/officeDocument/2006/relationships/oleObject" Target="embeddings/oleObject32.bin"/><Relationship Id="rId1" Type="http://schemas.openxmlformats.org/officeDocument/2006/relationships/image" Target="media/image32.wmf"/><Relationship Id="rId6" Type="http://schemas.openxmlformats.org/officeDocument/2006/relationships/oleObject" Target="embeddings/oleObject54.bin"/><Relationship Id="rId5" Type="http://schemas.openxmlformats.org/officeDocument/2006/relationships/image" Target="media/image53.wmf"/><Relationship Id="rId4" Type="http://schemas.openxmlformats.org/officeDocument/2006/relationships/oleObject" Target="embeddings/oleObject53.bin"/><Relationship Id="rId9" Type="http://schemas.openxmlformats.org/officeDocument/2006/relationships/image" Target="media/image9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180B-5D38-4150-8A44-0C3126F7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32</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Final results: If qi = 1Nan with qy = 0 and qpi less than 1; Nan with qy =0</vt:lpstr>
    </vt:vector>
  </TitlesOfParts>
  <Company>igidr</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results: If qi = 1Nan with qy = 0 and qpi less than 1; Nan with qy =0</dc:title>
  <dc:subject/>
  <dc:creator>ABC</dc:creator>
  <cp:keywords/>
  <cp:lastModifiedBy>ashima</cp:lastModifiedBy>
  <cp:revision>31</cp:revision>
  <cp:lastPrinted>2012-09-27T12:43:00Z</cp:lastPrinted>
  <dcterms:created xsi:type="dcterms:W3CDTF">2012-08-14T05:26:00Z</dcterms:created>
  <dcterms:modified xsi:type="dcterms:W3CDTF">2012-09-28T08:06:00Z</dcterms:modified>
</cp:coreProperties>
</file>